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D4" w:rsidRPr="001D739C" w:rsidRDefault="00A35ED4" w:rsidP="00EC0208"/>
    <w:p w:rsidR="00A35ED4" w:rsidRPr="001D739C" w:rsidRDefault="00A35ED4" w:rsidP="00EC0208"/>
    <w:p w:rsidR="00302C3D" w:rsidRDefault="00302C3D" w:rsidP="00302C3D">
      <w:pPr>
        <w:rPr>
          <w:rFonts w:ascii="Arial" w:hAnsi="Arial" w:cs="Arial"/>
          <w:b/>
        </w:rPr>
      </w:pPr>
    </w:p>
    <w:p w:rsidR="00E82829" w:rsidRDefault="00E82829" w:rsidP="00302C3D">
      <w:pPr>
        <w:rPr>
          <w:rFonts w:ascii="Arial" w:hAnsi="Arial" w:cs="Arial"/>
          <w:b/>
        </w:rPr>
      </w:pPr>
    </w:p>
    <w:p w:rsidR="000041D8" w:rsidRDefault="000041D8" w:rsidP="0011170D">
      <w:pPr>
        <w:jc w:val="center"/>
        <w:rPr>
          <w:b/>
          <w:u w:val="single"/>
        </w:rPr>
      </w:pPr>
    </w:p>
    <w:p w:rsidR="00B46AF4" w:rsidRDefault="0011170D" w:rsidP="008E38EE">
      <w:pPr>
        <w:jc w:val="center"/>
        <w:rPr>
          <w:b/>
          <w:u w:val="single"/>
        </w:rPr>
      </w:pPr>
      <w:r w:rsidRPr="0011170D">
        <w:rPr>
          <w:b/>
          <w:u w:val="single"/>
        </w:rPr>
        <w:t xml:space="preserve">CAIETUL </w:t>
      </w:r>
      <w:r w:rsidR="008E38EE">
        <w:rPr>
          <w:b/>
          <w:u w:val="single"/>
        </w:rPr>
        <w:t>DE SARCINI</w:t>
      </w:r>
    </w:p>
    <w:p w:rsidR="000041D8" w:rsidRDefault="000041D8" w:rsidP="0011170D">
      <w:pPr>
        <w:jc w:val="center"/>
        <w:rPr>
          <w:b/>
          <w:u w:val="single"/>
        </w:rPr>
      </w:pPr>
    </w:p>
    <w:p w:rsidR="000041D8" w:rsidRDefault="000041D8" w:rsidP="0011170D">
      <w:pPr>
        <w:jc w:val="center"/>
        <w:rPr>
          <w:b/>
          <w:u w:val="single"/>
        </w:rPr>
      </w:pPr>
    </w:p>
    <w:p w:rsidR="000041D8" w:rsidRDefault="000041D8" w:rsidP="0011170D">
      <w:pPr>
        <w:jc w:val="center"/>
        <w:rPr>
          <w:b/>
          <w:u w:val="single"/>
        </w:rPr>
      </w:pPr>
    </w:p>
    <w:p w:rsidR="000041D8" w:rsidRPr="0011170D" w:rsidRDefault="000041D8" w:rsidP="0011170D">
      <w:pPr>
        <w:jc w:val="center"/>
        <w:rPr>
          <w:b/>
          <w:u w:val="single"/>
        </w:rPr>
      </w:pPr>
    </w:p>
    <w:p w:rsidR="00E06CCF" w:rsidRPr="0011170D" w:rsidRDefault="00E06CCF" w:rsidP="00302C3D">
      <w:pPr>
        <w:rPr>
          <w:b/>
          <w:sz w:val="20"/>
          <w:szCs w:val="20"/>
          <w:u w:val="single"/>
        </w:rPr>
      </w:pPr>
    </w:p>
    <w:tbl>
      <w:tblPr>
        <w:tblW w:w="1028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5490"/>
        <w:gridCol w:w="2306"/>
        <w:gridCol w:w="1325"/>
      </w:tblGrid>
      <w:tr w:rsidR="00884766" w:rsidRPr="0011170D" w:rsidTr="00636B56">
        <w:trPr>
          <w:cantSplit/>
          <w:trHeight w:val="559"/>
          <w:tblHeader/>
        </w:trPr>
        <w:tc>
          <w:tcPr>
            <w:tcW w:w="1168" w:type="dxa"/>
            <w:vAlign w:val="center"/>
          </w:tcPr>
          <w:p w:rsidR="0011170D" w:rsidRPr="0011170D" w:rsidRDefault="0011170D" w:rsidP="00884766">
            <w:pPr>
              <w:jc w:val="center"/>
            </w:pPr>
            <w:r w:rsidRPr="0011170D">
              <w:rPr>
                <w:b/>
              </w:rPr>
              <w:t>Referința</w:t>
            </w:r>
          </w:p>
        </w:tc>
        <w:tc>
          <w:tcPr>
            <w:tcW w:w="5490" w:type="dxa"/>
            <w:vAlign w:val="center"/>
          </w:tcPr>
          <w:p w:rsidR="0011170D" w:rsidRPr="0011170D" w:rsidRDefault="0011170D" w:rsidP="00884766">
            <w:pPr>
              <w:jc w:val="center"/>
            </w:pPr>
            <w:r w:rsidRPr="0011170D">
              <w:rPr>
                <w:b/>
              </w:rPr>
              <w:t>Cerinţa</w:t>
            </w:r>
          </w:p>
        </w:tc>
        <w:tc>
          <w:tcPr>
            <w:tcW w:w="2306" w:type="dxa"/>
            <w:vAlign w:val="center"/>
          </w:tcPr>
          <w:p w:rsidR="0011170D" w:rsidRPr="0011170D" w:rsidRDefault="0011170D" w:rsidP="00E82829">
            <w:pPr>
              <w:jc w:val="center"/>
              <w:rPr>
                <w:b/>
              </w:rPr>
            </w:pPr>
            <w:r w:rsidRPr="0011170D">
              <w:rPr>
                <w:b/>
              </w:rPr>
              <w:t xml:space="preserve">Propunerea tehnică a ofertantului </w:t>
            </w:r>
            <w:r w:rsidR="00601AE6">
              <w:rPr>
                <w:b/>
              </w:rPr>
              <w:t>***</w:t>
            </w:r>
          </w:p>
        </w:tc>
        <w:tc>
          <w:tcPr>
            <w:tcW w:w="1325" w:type="dxa"/>
            <w:vAlign w:val="center"/>
          </w:tcPr>
          <w:p w:rsidR="0011170D" w:rsidRPr="0011170D" w:rsidRDefault="0011170D" w:rsidP="00884766">
            <w:pPr>
              <w:jc w:val="center"/>
              <w:rPr>
                <w:b/>
              </w:rPr>
            </w:pPr>
            <w:r w:rsidRPr="0011170D">
              <w:rPr>
                <w:b/>
              </w:rPr>
              <w:t>Obs.</w:t>
            </w:r>
          </w:p>
        </w:tc>
      </w:tr>
      <w:tr w:rsidR="0011170D" w:rsidRPr="0011170D" w:rsidTr="00636B56">
        <w:trPr>
          <w:cantSplit/>
          <w:trHeight w:val="365"/>
        </w:trPr>
        <w:tc>
          <w:tcPr>
            <w:tcW w:w="10289" w:type="dxa"/>
            <w:gridSpan w:val="4"/>
            <w:vAlign w:val="center"/>
          </w:tcPr>
          <w:p w:rsidR="0011170D" w:rsidRPr="00302C3D" w:rsidRDefault="0011170D" w:rsidP="00884766">
            <w:pPr>
              <w:jc w:val="center"/>
              <w:rPr>
                <w:b/>
                <w:sz w:val="24"/>
                <w:szCs w:val="24"/>
              </w:rPr>
            </w:pPr>
            <w:r w:rsidRPr="00302C3D">
              <w:rPr>
                <w:b/>
                <w:sz w:val="24"/>
                <w:szCs w:val="24"/>
              </w:rPr>
              <w:t>CAIETUL DE SARCINI</w:t>
            </w:r>
          </w:p>
        </w:tc>
      </w:tr>
      <w:tr w:rsidR="00636B56" w:rsidRPr="0011170D" w:rsidTr="00636B56">
        <w:trPr>
          <w:cantSplit/>
          <w:trHeight w:hRule="exact" w:val="702"/>
        </w:trPr>
        <w:tc>
          <w:tcPr>
            <w:tcW w:w="1168" w:type="dxa"/>
            <w:vMerge w:val="restart"/>
            <w:vAlign w:val="center"/>
          </w:tcPr>
          <w:p w:rsidR="00636B56" w:rsidRPr="0011170D" w:rsidRDefault="00636B56" w:rsidP="00C861F7">
            <w:pPr>
              <w:rPr>
                <w:b/>
              </w:rPr>
            </w:pPr>
          </w:p>
        </w:tc>
        <w:tc>
          <w:tcPr>
            <w:tcW w:w="5490" w:type="dxa"/>
            <w:vAlign w:val="center"/>
          </w:tcPr>
          <w:p w:rsidR="00636B56" w:rsidRDefault="00636B56" w:rsidP="00AE3FD4">
            <w:pPr>
              <w:numPr>
                <w:ilvl w:val="0"/>
                <w:numId w:val="2"/>
              </w:numPr>
              <w:ind w:left="135" w:hanging="142"/>
              <w:rPr>
                <w:sz w:val="20"/>
                <w:szCs w:val="20"/>
              </w:rPr>
            </w:pPr>
            <w:r w:rsidRPr="00AE3FD4">
              <w:rPr>
                <w:sz w:val="20"/>
                <w:szCs w:val="20"/>
              </w:rPr>
              <w:t xml:space="preserve">Produse solicitate </w:t>
            </w:r>
          </w:p>
          <w:p w:rsidR="00636B56" w:rsidRPr="00AE3FD4" w:rsidRDefault="00A74D3A" w:rsidP="00C071A0">
            <w:pPr>
              <w:ind w:left="135"/>
              <w:rPr>
                <w:sz w:val="20"/>
                <w:szCs w:val="20"/>
              </w:rPr>
            </w:pPr>
            <w:r>
              <w:rPr>
                <w:b/>
                <w:sz w:val="20"/>
                <w:szCs w:val="20"/>
                <w:lang w:eastAsia="ro-RO"/>
              </w:rPr>
              <w:t>RIL</w:t>
            </w:r>
            <w:r w:rsidR="006051F4" w:rsidRPr="006051F4">
              <w:rPr>
                <w:b/>
                <w:sz w:val="20"/>
                <w:szCs w:val="20"/>
                <w:lang w:eastAsia="ro-RO"/>
              </w:rPr>
              <w:t xml:space="preserve"> cu mâncare gătită ti</w:t>
            </w:r>
            <w:r w:rsidR="006051F4">
              <w:rPr>
                <w:b/>
                <w:sz w:val="20"/>
                <w:szCs w:val="20"/>
                <w:lang w:eastAsia="ro-RO"/>
              </w:rPr>
              <w:t>p</w:t>
            </w:r>
            <w:r>
              <w:rPr>
                <w:b/>
                <w:sz w:val="20"/>
                <w:szCs w:val="20"/>
                <w:lang w:eastAsia="ro-RO"/>
              </w:rPr>
              <w:t>ul</w:t>
            </w:r>
            <w:r w:rsidR="006051F4">
              <w:rPr>
                <w:b/>
                <w:sz w:val="20"/>
                <w:szCs w:val="20"/>
                <w:lang w:eastAsia="ro-RO"/>
              </w:rPr>
              <w:t xml:space="preserve"> MRE </w:t>
            </w:r>
            <w:r>
              <w:rPr>
                <w:b/>
                <w:sz w:val="20"/>
                <w:szCs w:val="20"/>
                <w:lang w:eastAsia="ro-RO"/>
              </w:rPr>
              <w:t xml:space="preserve">(meal ready to eat) </w:t>
            </w:r>
            <w:r w:rsidR="00C071A0">
              <w:rPr>
                <w:b/>
                <w:sz w:val="20"/>
                <w:szCs w:val="20"/>
                <w:lang w:eastAsia="ro-RO"/>
              </w:rPr>
              <w:t>(carne de pui, vita etc.)</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636B56" w:rsidRPr="0011170D" w:rsidTr="00636B56">
        <w:trPr>
          <w:cantSplit/>
          <w:trHeight w:hRule="exact" w:val="698"/>
        </w:trPr>
        <w:tc>
          <w:tcPr>
            <w:tcW w:w="1168" w:type="dxa"/>
            <w:vMerge/>
            <w:vAlign w:val="center"/>
          </w:tcPr>
          <w:p w:rsidR="00636B56" w:rsidRPr="0011170D" w:rsidRDefault="00636B56" w:rsidP="00884766">
            <w:pPr>
              <w:rPr>
                <w:b/>
              </w:rPr>
            </w:pPr>
          </w:p>
        </w:tc>
        <w:tc>
          <w:tcPr>
            <w:tcW w:w="5490" w:type="dxa"/>
            <w:vAlign w:val="center"/>
          </w:tcPr>
          <w:p w:rsidR="00636B56" w:rsidRPr="006051F4" w:rsidRDefault="006051F4" w:rsidP="00C861F7">
            <w:pPr>
              <w:numPr>
                <w:ilvl w:val="0"/>
                <w:numId w:val="2"/>
              </w:numPr>
              <w:ind w:left="135" w:hanging="142"/>
              <w:rPr>
                <w:sz w:val="20"/>
                <w:szCs w:val="20"/>
              </w:rPr>
            </w:pPr>
            <w:r>
              <w:rPr>
                <w:sz w:val="20"/>
                <w:szCs w:val="20"/>
              </w:rPr>
              <w:t xml:space="preserve">Cantitate – </w:t>
            </w:r>
            <w:r w:rsidR="00C861F7">
              <w:rPr>
                <w:sz w:val="20"/>
                <w:szCs w:val="20"/>
              </w:rPr>
              <w:t>22000 buc.</w:t>
            </w:r>
          </w:p>
        </w:tc>
        <w:tc>
          <w:tcPr>
            <w:tcW w:w="2306" w:type="dxa"/>
            <w:vAlign w:val="center"/>
          </w:tcPr>
          <w:p w:rsidR="00636B56" w:rsidRPr="0011170D" w:rsidRDefault="00636B56" w:rsidP="00D36344">
            <w:pPr>
              <w:jc w:val="center"/>
            </w:pPr>
            <w:r w:rsidRPr="0011170D">
              <w:t>…….</w:t>
            </w:r>
          </w:p>
        </w:tc>
        <w:tc>
          <w:tcPr>
            <w:tcW w:w="1325" w:type="dxa"/>
          </w:tcPr>
          <w:p w:rsidR="00636B56" w:rsidRPr="0011170D" w:rsidRDefault="00636B56" w:rsidP="00884766"/>
        </w:tc>
      </w:tr>
      <w:tr w:rsidR="00636B56" w:rsidRPr="0011170D" w:rsidTr="00636B56">
        <w:trPr>
          <w:cantSplit/>
          <w:trHeight w:hRule="exact" w:val="708"/>
        </w:trPr>
        <w:tc>
          <w:tcPr>
            <w:tcW w:w="1168" w:type="dxa"/>
            <w:vMerge/>
            <w:vAlign w:val="center"/>
          </w:tcPr>
          <w:p w:rsidR="00636B56" w:rsidRPr="0011170D" w:rsidRDefault="00636B56" w:rsidP="00884766">
            <w:pPr>
              <w:rPr>
                <w:b/>
              </w:rPr>
            </w:pPr>
          </w:p>
        </w:tc>
        <w:tc>
          <w:tcPr>
            <w:tcW w:w="5490" w:type="dxa"/>
            <w:vAlign w:val="center"/>
          </w:tcPr>
          <w:p w:rsidR="00636B56" w:rsidRPr="00071BF7" w:rsidRDefault="00636B56" w:rsidP="00AE3FD4">
            <w:pPr>
              <w:numPr>
                <w:ilvl w:val="0"/>
                <w:numId w:val="2"/>
              </w:numPr>
              <w:ind w:left="135" w:hanging="142"/>
              <w:rPr>
                <w:sz w:val="20"/>
                <w:szCs w:val="20"/>
              </w:rPr>
            </w:pPr>
            <w:r w:rsidRPr="00AE3FD4">
              <w:rPr>
                <w:iCs/>
                <w:sz w:val="20"/>
                <w:szCs w:val="20"/>
              </w:rPr>
              <w:t>Loc de livrare;</w:t>
            </w:r>
          </w:p>
          <w:p w:rsidR="00636B56" w:rsidRPr="00AE3FD4" w:rsidRDefault="00636B56" w:rsidP="00C861F7">
            <w:pPr>
              <w:ind w:left="-7"/>
              <w:rPr>
                <w:sz w:val="20"/>
                <w:szCs w:val="20"/>
              </w:rPr>
            </w:pPr>
            <w:r>
              <w:rPr>
                <w:iCs/>
                <w:sz w:val="20"/>
                <w:szCs w:val="20"/>
              </w:rPr>
              <w:t xml:space="preserve">Unitatea Militară </w:t>
            </w:r>
            <w:r w:rsidR="00C861F7">
              <w:rPr>
                <w:iCs/>
                <w:sz w:val="20"/>
                <w:szCs w:val="20"/>
              </w:rPr>
              <w:t>01016 Tg Mures</w:t>
            </w:r>
          </w:p>
        </w:tc>
        <w:tc>
          <w:tcPr>
            <w:tcW w:w="2306" w:type="dxa"/>
            <w:vAlign w:val="center"/>
          </w:tcPr>
          <w:p w:rsidR="00636B56" w:rsidRPr="0011170D" w:rsidRDefault="00636B56" w:rsidP="00D36344">
            <w:pPr>
              <w:jc w:val="center"/>
            </w:pPr>
            <w:r w:rsidRPr="0011170D">
              <w:t>…….</w:t>
            </w:r>
          </w:p>
        </w:tc>
        <w:tc>
          <w:tcPr>
            <w:tcW w:w="1325" w:type="dxa"/>
          </w:tcPr>
          <w:p w:rsidR="00636B56" w:rsidRPr="0011170D" w:rsidRDefault="00636B56" w:rsidP="00884766"/>
        </w:tc>
      </w:tr>
      <w:tr w:rsidR="00636B56" w:rsidRPr="0011170D" w:rsidTr="00636B56">
        <w:trPr>
          <w:cantSplit/>
          <w:trHeight w:hRule="exact" w:val="704"/>
        </w:trPr>
        <w:tc>
          <w:tcPr>
            <w:tcW w:w="1168" w:type="dxa"/>
            <w:vMerge/>
            <w:vAlign w:val="center"/>
          </w:tcPr>
          <w:p w:rsidR="00636B56" w:rsidRPr="0011170D" w:rsidRDefault="00636B56" w:rsidP="00884766">
            <w:pPr>
              <w:rPr>
                <w:b/>
              </w:rPr>
            </w:pPr>
          </w:p>
        </w:tc>
        <w:tc>
          <w:tcPr>
            <w:tcW w:w="5490" w:type="dxa"/>
            <w:vAlign w:val="center"/>
          </w:tcPr>
          <w:p w:rsidR="00636B56" w:rsidRPr="00071BF7" w:rsidRDefault="00636B56" w:rsidP="00AE3FD4">
            <w:pPr>
              <w:numPr>
                <w:ilvl w:val="0"/>
                <w:numId w:val="2"/>
              </w:numPr>
              <w:ind w:left="135" w:hanging="142"/>
              <w:rPr>
                <w:sz w:val="20"/>
                <w:szCs w:val="20"/>
              </w:rPr>
            </w:pPr>
            <w:r>
              <w:rPr>
                <w:iCs/>
                <w:sz w:val="20"/>
                <w:szCs w:val="20"/>
              </w:rPr>
              <w:t>Termenele de livrare solicitate</w:t>
            </w:r>
          </w:p>
          <w:p w:rsidR="00636B56" w:rsidRPr="00AE3FD4" w:rsidRDefault="00636B56" w:rsidP="00071BF7">
            <w:pPr>
              <w:ind w:left="135"/>
              <w:rPr>
                <w:sz w:val="20"/>
                <w:szCs w:val="20"/>
              </w:rPr>
            </w:pPr>
            <w:r>
              <w:rPr>
                <w:sz w:val="20"/>
                <w:szCs w:val="20"/>
              </w:rPr>
              <w:t>Maxim 90 de zile de la semnarea contractului subsecvent.</w:t>
            </w:r>
          </w:p>
        </w:tc>
        <w:tc>
          <w:tcPr>
            <w:tcW w:w="2306" w:type="dxa"/>
            <w:vAlign w:val="center"/>
          </w:tcPr>
          <w:p w:rsidR="00636B56" w:rsidRPr="0011170D" w:rsidRDefault="00636B56" w:rsidP="00D36344">
            <w:pPr>
              <w:jc w:val="center"/>
            </w:pPr>
            <w:r w:rsidRPr="0011170D">
              <w:t>…….</w:t>
            </w:r>
          </w:p>
        </w:tc>
        <w:tc>
          <w:tcPr>
            <w:tcW w:w="1325" w:type="dxa"/>
          </w:tcPr>
          <w:p w:rsidR="00636B56" w:rsidRPr="0011170D" w:rsidRDefault="00636B56" w:rsidP="00884766"/>
        </w:tc>
      </w:tr>
      <w:tr w:rsidR="00636B56" w:rsidRPr="0011170D" w:rsidTr="00636B56">
        <w:trPr>
          <w:cantSplit/>
          <w:trHeight w:hRule="exact" w:val="397"/>
        </w:trPr>
        <w:tc>
          <w:tcPr>
            <w:tcW w:w="1168" w:type="dxa"/>
            <w:vMerge/>
            <w:vAlign w:val="center"/>
          </w:tcPr>
          <w:p w:rsidR="00636B56" w:rsidRPr="0011170D" w:rsidRDefault="00636B56" w:rsidP="00884766">
            <w:pPr>
              <w:rPr>
                <w:b/>
              </w:rPr>
            </w:pPr>
          </w:p>
        </w:tc>
        <w:tc>
          <w:tcPr>
            <w:tcW w:w="5490" w:type="dxa"/>
            <w:vAlign w:val="center"/>
          </w:tcPr>
          <w:p w:rsidR="00636B56" w:rsidRPr="00AE3FD4" w:rsidRDefault="00636B56" w:rsidP="006051F4">
            <w:pPr>
              <w:numPr>
                <w:ilvl w:val="0"/>
                <w:numId w:val="2"/>
              </w:numPr>
              <w:ind w:left="135" w:hanging="142"/>
              <w:rPr>
                <w:iCs/>
                <w:sz w:val="20"/>
                <w:szCs w:val="20"/>
              </w:rPr>
            </w:pPr>
            <w:r w:rsidRPr="00AE3FD4">
              <w:rPr>
                <w:iCs/>
                <w:sz w:val="20"/>
                <w:szCs w:val="20"/>
              </w:rPr>
              <w:t>Specificație tehnică</w:t>
            </w:r>
            <w:r>
              <w:rPr>
                <w:iCs/>
                <w:sz w:val="20"/>
                <w:szCs w:val="20"/>
              </w:rPr>
              <w:t xml:space="preserve"> – ST-</w:t>
            </w:r>
            <w:r w:rsidR="006051F4">
              <w:rPr>
                <w:iCs/>
                <w:sz w:val="20"/>
                <w:szCs w:val="20"/>
              </w:rPr>
              <w:t>873-22</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636B56" w:rsidRPr="0011170D" w:rsidTr="00636B56">
        <w:trPr>
          <w:cantSplit/>
          <w:trHeight w:hRule="exact" w:val="1443"/>
        </w:trPr>
        <w:tc>
          <w:tcPr>
            <w:tcW w:w="1168" w:type="dxa"/>
            <w:vMerge/>
            <w:vAlign w:val="center"/>
          </w:tcPr>
          <w:p w:rsidR="00636B56" w:rsidRPr="0011170D" w:rsidRDefault="00636B56" w:rsidP="00884766">
            <w:pPr>
              <w:rPr>
                <w:b/>
              </w:rPr>
            </w:pPr>
          </w:p>
        </w:tc>
        <w:tc>
          <w:tcPr>
            <w:tcW w:w="5490" w:type="dxa"/>
            <w:vAlign w:val="center"/>
          </w:tcPr>
          <w:p w:rsidR="00636B56" w:rsidRPr="00AE3FD4" w:rsidRDefault="00636B56" w:rsidP="00AE3FD4">
            <w:pPr>
              <w:numPr>
                <w:ilvl w:val="0"/>
                <w:numId w:val="2"/>
              </w:numPr>
              <w:ind w:left="135" w:hanging="142"/>
              <w:rPr>
                <w:sz w:val="20"/>
                <w:szCs w:val="20"/>
              </w:rPr>
            </w:pPr>
            <w:r w:rsidRPr="00AE3FD4">
              <w:rPr>
                <w:sz w:val="20"/>
                <w:szCs w:val="20"/>
              </w:rPr>
              <w:t>Termen de valabilitate</w:t>
            </w:r>
            <w:r>
              <w:rPr>
                <w:sz w:val="20"/>
                <w:szCs w:val="20"/>
              </w:rPr>
              <w:t xml:space="preserve"> – minim 2 (doi) de la data livrării, la temeperaturi ≤25</w:t>
            </w:r>
            <w:r>
              <w:rPr>
                <w:sz w:val="20"/>
                <w:szCs w:val="20"/>
                <w:vertAlign w:val="superscript"/>
              </w:rPr>
              <w:t xml:space="preserve">0 </w:t>
            </w:r>
            <w:r>
              <w:rPr>
                <w:sz w:val="20"/>
                <w:szCs w:val="20"/>
              </w:rPr>
              <w:t>C, fiind dat de produsul din compunerea rației cu termenul de păstrare cel mai mic, în condițiile prevăzute de cap. 3, pc. 3.1 – termen de valabilitate din STANAG 2937 (ediția 4)</w:t>
            </w:r>
          </w:p>
        </w:tc>
        <w:tc>
          <w:tcPr>
            <w:tcW w:w="2306" w:type="dxa"/>
            <w:vAlign w:val="center"/>
          </w:tcPr>
          <w:p w:rsidR="00636B56" w:rsidRPr="0011170D" w:rsidRDefault="00636B56" w:rsidP="00D36344">
            <w:pPr>
              <w:jc w:val="center"/>
            </w:pPr>
            <w:r w:rsidRPr="0011170D">
              <w:t>…….</w:t>
            </w:r>
          </w:p>
        </w:tc>
        <w:tc>
          <w:tcPr>
            <w:tcW w:w="1325" w:type="dxa"/>
          </w:tcPr>
          <w:p w:rsidR="00636B56" w:rsidRPr="0011170D" w:rsidRDefault="00636B56" w:rsidP="00884766"/>
        </w:tc>
      </w:tr>
      <w:tr w:rsidR="00636B56" w:rsidRPr="0011170D" w:rsidTr="00636B56">
        <w:trPr>
          <w:cantSplit/>
          <w:trHeight w:hRule="exact" w:val="2130"/>
        </w:trPr>
        <w:tc>
          <w:tcPr>
            <w:tcW w:w="1168" w:type="dxa"/>
            <w:vMerge/>
            <w:vAlign w:val="center"/>
          </w:tcPr>
          <w:p w:rsidR="00636B56" w:rsidRPr="0011170D" w:rsidRDefault="00636B56" w:rsidP="00884766">
            <w:pPr>
              <w:rPr>
                <w:b/>
              </w:rPr>
            </w:pPr>
          </w:p>
        </w:tc>
        <w:tc>
          <w:tcPr>
            <w:tcW w:w="5490" w:type="dxa"/>
            <w:vAlign w:val="center"/>
          </w:tcPr>
          <w:p w:rsidR="00636B56" w:rsidRPr="00AE3FD4" w:rsidRDefault="00636B56" w:rsidP="007F0B81">
            <w:pPr>
              <w:rPr>
                <w:sz w:val="20"/>
                <w:szCs w:val="20"/>
              </w:rPr>
            </w:pPr>
            <w:r>
              <w:rPr>
                <w:sz w:val="20"/>
                <w:szCs w:val="20"/>
              </w:rPr>
              <w:t xml:space="preserve">Oferta trebuie să îndeplinească cerințele solicitate în caietul de sarcini. Cerințele caietului de sarcini vor fi considerate minimale. În acest sens vor fi luate în considerare toate ofertele care prin propunerea tehnică, asigură un nivel egal sau superior cerințelor minimale din caietul de sarcini. Ofertele de produse cu caracteristici tehnice inferioare celor prevăzute în caietul de sarcini, respectiv în specificația tehnică, parte din caietul de sarcini, vor fi declarate neconforme. </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636B56" w:rsidRPr="0011170D" w:rsidTr="00636B56">
        <w:trPr>
          <w:cantSplit/>
          <w:trHeight w:hRule="exact" w:val="3690"/>
        </w:trPr>
        <w:tc>
          <w:tcPr>
            <w:tcW w:w="1168" w:type="dxa"/>
            <w:vMerge/>
            <w:vAlign w:val="center"/>
          </w:tcPr>
          <w:p w:rsidR="00636B56" w:rsidRPr="0011170D" w:rsidRDefault="00636B56" w:rsidP="00884766">
            <w:pPr>
              <w:rPr>
                <w:b/>
              </w:rPr>
            </w:pPr>
          </w:p>
        </w:tc>
        <w:tc>
          <w:tcPr>
            <w:tcW w:w="5490" w:type="dxa"/>
            <w:vAlign w:val="center"/>
          </w:tcPr>
          <w:p w:rsidR="00636B56" w:rsidRDefault="006051F4" w:rsidP="006051F4">
            <w:pPr>
              <w:rPr>
                <w:sz w:val="20"/>
                <w:szCs w:val="20"/>
              </w:rPr>
            </w:pPr>
            <w:r>
              <w:rPr>
                <w:sz w:val="20"/>
                <w:szCs w:val="20"/>
              </w:rPr>
              <w:t xml:space="preserve">                      </w:t>
            </w:r>
            <w:r w:rsidR="00636B56">
              <w:rPr>
                <w:sz w:val="20"/>
                <w:szCs w:val="20"/>
              </w:rPr>
              <w:t>Structura rației este următoarea:</w:t>
            </w:r>
          </w:p>
          <w:tbl>
            <w:tblPr>
              <w:tblStyle w:val="TableGrid"/>
              <w:tblW w:w="5433" w:type="dxa"/>
              <w:tblLayout w:type="fixed"/>
              <w:tblLook w:val="04A0"/>
            </w:tblPr>
            <w:tblGrid>
              <w:gridCol w:w="425"/>
              <w:gridCol w:w="1016"/>
              <w:gridCol w:w="634"/>
              <w:gridCol w:w="643"/>
              <w:gridCol w:w="670"/>
              <w:gridCol w:w="634"/>
              <w:gridCol w:w="750"/>
              <w:gridCol w:w="661"/>
            </w:tblGrid>
            <w:tr w:rsidR="00636B56" w:rsidTr="006051F4">
              <w:tc>
                <w:tcPr>
                  <w:tcW w:w="425" w:type="dxa"/>
                </w:tcPr>
                <w:p w:rsidR="00636B56" w:rsidRDefault="00636B56" w:rsidP="00884766">
                  <w:pPr>
                    <w:jc w:val="center"/>
                    <w:rPr>
                      <w:sz w:val="16"/>
                      <w:szCs w:val="16"/>
                    </w:rPr>
                  </w:pPr>
                  <w:r w:rsidRPr="007F0B81">
                    <w:rPr>
                      <w:sz w:val="16"/>
                      <w:szCs w:val="16"/>
                    </w:rPr>
                    <w:t>Nr.</w:t>
                  </w:r>
                </w:p>
                <w:p w:rsidR="00636B56" w:rsidRPr="007F0B81" w:rsidRDefault="00636B56" w:rsidP="00884766">
                  <w:pPr>
                    <w:jc w:val="center"/>
                    <w:rPr>
                      <w:sz w:val="16"/>
                      <w:szCs w:val="16"/>
                    </w:rPr>
                  </w:pPr>
                  <w:r w:rsidRPr="007F0B81">
                    <w:rPr>
                      <w:sz w:val="16"/>
                      <w:szCs w:val="16"/>
                    </w:rPr>
                    <w:t>crt</w:t>
                  </w:r>
                </w:p>
              </w:tc>
              <w:tc>
                <w:tcPr>
                  <w:tcW w:w="1016" w:type="dxa"/>
                </w:tcPr>
                <w:p w:rsidR="00636B56" w:rsidRPr="007F0B81" w:rsidRDefault="00636B56" w:rsidP="00884766">
                  <w:pPr>
                    <w:jc w:val="center"/>
                    <w:rPr>
                      <w:sz w:val="16"/>
                      <w:szCs w:val="16"/>
                    </w:rPr>
                  </w:pPr>
                  <w:r w:rsidRPr="007F0B81">
                    <w:rPr>
                      <w:sz w:val="16"/>
                      <w:szCs w:val="16"/>
                    </w:rPr>
                    <w:t>Structura</w:t>
                  </w:r>
                </w:p>
              </w:tc>
              <w:tc>
                <w:tcPr>
                  <w:tcW w:w="634" w:type="dxa"/>
                </w:tcPr>
                <w:p w:rsidR="00636B56" w:rsidRPr="007F0B81" w:rsidRDefault="00636B56" w:rsidP="00884766">
                  <w:pPr>
                    <w:jc w:val="center"/>
                    <w:rPr>
                      <w:sz w:val="16"/>
                      <w:szCs w:val="16"/>
                    </w:rPr>
                  </w:pPr>
                  <w:r w:rsidRPr="007F0B81">
                    <w:rPr>
                      <w:sz w:val="16"/>
                      <w:szCs w:val="16"/>
                    </w:rPr>
                    <w:t>um</w:t>
                  </w:r>
                </w:p>
              </w:tc>
              <w:tc>
                <w:tcPr>
                  <w:tcW w:w="643" w:type="dxa"/>
                </w:tcPr>
                <w:p w:rsidR="00636B56" w:rsidRPr="007F0B81" w:rsidRDefault="00636B56" w:rsidP="00884766">
                  <w:pPr>
                    <w:jc w:val="center"/>
                    <w:rPr>
                      <w:sz w:val="16"/>
                      <w:szCs w:val="16"/>
                    </w:rPr>
                  </w:pPr>
                  <w:r w:rsidRPr="007F0B81">
                    <w:rPr>
                      <w:sz w:val="16"/>
                      <w:szCs w:val="16"/>
                    </w:rPr>
                    <w:t>Rații zilnice</w:t>
                  </w:r>
                </w:p>
              </w:tc>
              <w:tc>
                <w:tcPr>
                  <w:tcW w:w="670" w:type="dxa"/>
                </w:tcPr>
                <w:p w:rsidR="00636B56" w:rsidRDefault="00636B56" w:rsidP="00884766">
                  <w:pPr>
                    <w:jc w:val="center"/>
                    <w:rPr>
                      <w:sz w:val="16"/>
                      <w:szCs w:val="16"/>
                    </w:rPr>
                  </w:pPr>
                  <w:r w:rsidRPr="007F0B81">
                    <w:rPr>
                      <w:sz w:val="16"/>
                      <w:szCs w:val="16"/>
                    </w:rPr>
                    <w:t>Carbo</w:t>
                  </w:r>
                </w:p>
                <w:p w:rsidR="00636B56" w:rsidRPr="007F0B81" w:rsidRDefault="00636B56" w:rsidP="00884766">
                  <w:pPr>
                    <w:jc w:val="center"/>
                    <w:rPr>
                      <w:sz w:val="16"/>
                      <w:szCs w:val="16"/>
                    </w:rPr>
                  </w:pPr>
                  <w:r w:rsidRPr="007F0B81">
                    <w:rPr>
                      <w:sz w:val="16"/>
                      <w:szCs w:val="16"/>
                    </w:rPr>
                    <w:t>Hidrați</w:t>
                  </w:r>
                  <w:r>
                    <w:rPr>
                      <w:sz w:val="16"/>
                      <w:szCs w:val="16"/>
                    </w:rPr>
                    <w:t xml:space="preserve"> %</w:t>
                  </w:r>
                </w:p>
              </w:tc>
              <w:tc>
                <w:tcPr>
                  <w:tcW w:w="634" w:type="dxa"/>
                </w:tcPr>
                <w:p w:rsidR="00636B56" w:rsidRDefault="00636B56" w:rsidP="00884766">
                  <w:pPr>
                    <w:jc w:val="center"/>
                    <w:rPr>
                      <w:sz w:val="16"/>
                      <w:szCs w:val="16"/>
                    </w:rPr>
                  </w:pPr>
                  <w:r w:rsidRPr="00884766">
                    <w:rPr>
                      <w:sz w:val="16"/>
                      <w:szCs w:val="16"/>
                    </w:rPr>
                    <w:t>Lipide</w:t>
                  </w:r>
                </w:p>
                <w:p w:rsidR="00636B56" w:rsidRPr="00884766" w:rsidRDefault="00636B56" w:rsidP="00884766">
                  <w:pPr>
                    <w:jc w:val="center"/>
                    <w:rPr>
                      <w:sz w:val="16"/>
                      <w:szCs w:val="16"/>
                    </w:rPr>
                  </w:pPr>
                  <w:r>
                    <w:rPr>
                      <w:sz w:val="16"/>
                      <w:szCs w:val="16"/>
                    </w:rPr>
                    <w:t>%</w:t>
                  </w:r>
                </w:p>
              </w:tc>
              <w:tc>
                <w:tcPr>
                  <w:tcW w:w="750" w:type="dxa"/>
                </w:tcPr>
                <w:p w:rsidR="00636B56" w:rsidRDefault="00636B56" w:rsidP="00884766">
                  <w:pPr>
                    <w:jc w:val="center"/>
                    <w:rPr>
                      <w:sz w:val="16"/>
                      <w:szCs w:val="16"/>
                    </w:rPr>
                  </w:pPr>
                  <w:r w:rsidRPr="00884766">
                    <w:rPr>
                      <w:sz w:val="16"/>
                      <w:szCs w:val="16"/>
                    </w:rPr>
                    <w:t>Proteine</w:t>
                  </w:r>
                </w:p>
                <w:p w:rsidR="00636B56" w:rsidRPr="00884766" w:rsidRDefault="00636B56" w:rsidP="00884766">
                  <w:pPr>
                    <w:jc w:val="center"/>
                    <w:rPr>
                      <w:sz w:val="16"/>
                      <w:szCs w:val="16"/>
                    </w:rPr>
                  </w:pPr>
                  <w:r>
                    <w:rPr>
                      <w:sz w:val="16"/>
                      <w:szCs w:val="16"/>
                    </w:rPr>
                    <w:t>%</w:t>
                  </w:r>
                </w:p>
              </w:tc>
              <w:tc>
                <w:tcPr>
                  <w:tcW w:w="661" w:type="dxa"/>
                </w:tcPr>
                <w:p w:rsidR="00636B56" w:rsidRDefault="00636B56" w:rsidP="00884766">
                  <w:pPr>
                    <w:jc w:val="center"/>
                    <w:rPr>
                      <w:sz w:val="16"/>
                      <w:szCs w:val="16"/>
                    </w:rPr>
                  </w:pPr>
                  <w:r>
                    <w:rPr>
                      <w:sz w:val="16"/>
                      <w:szCs w:val="16"/>
                    </w:rPr>
                    <w:t>Total</w:t>
                  </w:r>
                </w:p>
                <w:p w:rsidR="00636B56" w:rsidRDefault="00636B56" w:rsidP="00884766">
                  <w:pPr>
                    <w:jc w:val="center"/>
                    <w:rPr>
                      <w:sz w:val="16"/>
                      <w:szCs w:val="16"/>
                    </w:rPr>
                  </w:pPr>
                  <w:r>
                    <w:rPr>
                      <w:sz w:val="16"/>
                      <w:szCs w:val="16"/>
                    </w:rPr>
                    <w:t>Calorii</w:t>
                  </w:r>
                </w:p>
                <w:p w:rsidR="00636B56" w:rsidRPr="00884766" w:rsidRDefault="00636B56" w:rsidP="00884766">
                  <w:pPr>
                    <w:jc w:val="center"/>
                    <w:rPr>
                      <w:sz w:val="16"/>
                      <w:szCs w:val="16"/>
                    </w:rPr>
                  </w:pPr>
                  <w:r>
                    <w:rPr>
                      <w:sz w:val="16"/>
                      <w:szCs w:val="16"/>
                    </w:rPr>
                    <w:t>Om/zi</w:t>
                  </w:r>
                </w:p>
              </w:tc>
            </w:tr>
            <w:tr w:rsidR="00636B56" w:rsidTr="006051F4">
              <w:tc>
                <w:tcPr>
                  <w:tcW w:w="425" w:type="dxa"/>
                </w:tcPr>
                <w:p w:rsidR="00636B56" w:rsidRPr="00884766" w:rsidRDefault="00636B56" w:rsidP="00884766">
                  <w:pPr>
                    <w:jc w:val="center"/>
                    <w:rPr>
                      <w:sz w:val="16"/>
                      <w:szCs w:val="16"/>
                    </w:rPr>
                  </w:pPr>
                  <w:r>
                    <w:rPr>
                      <w:sz w:val="16"/>
                      <w:szCs w:val="16"/>
                    </w:rPr>
                    <w:t>1</w:t>
                  </w:r>
                </w:p>
              </w:tc>
              <w:tc>
                <w:tcPr>
                  <w:tcW w:w="1016" w:type="dxa"/>
                </w:tcPr>
                <w:p w:rsidR="00636B56" w:rsidRPr="00884766" w:rsidRDefault="00636B56" w:rsidP="00884766">
                  <w:pPr>
                    <w:jc w:val="center"/>
                    <w:rPr>
                      <w:sz w:val="16"/>
                      <w:szCs w:val="16"/>
                    </w:rPr>
                  </w:pPr>
                  <w:r w:rsidRPr="00884766">
                    <w:rPr>
                      <w:sz w:val="16"/>
                      <w:szCs w:val="16"/>
                    </w:rPr>
                    <w:t>Alimente</w:t>
                  </w:r>
                </w:p>
              </w:tc>
              <w:tc>
                <w:tcPr>
                  <w:tcW w:w="634" w:type="dxa"/>
                </w:tcPr>
                <w:p w:rsidR="00636B56" w:rsidRPr="00884766" w:rsidRDefault="00636B56" w:rsidP="00884766">
                  <w:pPr>
                    <w:jc w:val="center"/>
                    <w:rPr>
                      <w:sz w:val="16"/>
                      <w:szCs w:val="16"/>
                    </w:rPr>
                  </w:pPr>
                  <w:r w:rsidRPr="00884766">
                    <w:rPr>
                      <w:sz w:val="16"/>
                      <w:szCs w:val="16"/>
                    </w:rPr>
                    <w:t>-</w:t>
                  </w:r>
                </w:p>
              </w:tc>
              <w:tc>
                <w:tcPr>
                  <w:tcW w:w="643" w:type="dxa"/>
                </w:tcPr>
                <w:p w:rsidR="00636B56" w:rsidRPr="00884766" w:rsidRDefault="00636B56" w:rsidP="00884766">
                  <w:pPr>
                    <w:jc w:val="center"/>
                    <w:rPr>
                      <w:sz w:val="16"/>
                      <w:szCs w:val="16"/>
                    </w:rPr>
                  </w:pPr>
                  <w:r w:rsidRPr="00884766">
                    <w:rPr>
                      <w:sz w:val="16"/>
                      <w:szCs w:val="16"/>
                    </w:rPr>
                    <w:t>-</w:t>
                  </w:r>
                </w:p>
              </w:tc>
              <w:tc>
                <w:tcPr>
                  <w:tcW w:w="670" w:type="dxa"/>
                </w:tcPr>
                <w:p w:rsidR="00636B56" w:rsidRPr="00884766" w:rsidRDefault="00636B56" w:rsidP="00884766">
                  <w:pPr>
                    <w:jc w:val="center"/>
                    <w:rPr>
                      <w:sz w:val="16"/>
                      <w:szCs w:val="16"/>
                    </w:rPr>
                  </w:pPr>
                  <w:r w:rsidRPr="00884766">
                    <w:rPr>
                      <w:sz w:val="16"/>
                      <w:szCs w:val="16"/>
                    </w:rPr>
                    <w:t>50-60</w:t>
                  </w:r>
                </w:p>
              </w:tc>
              <w:tc>
                <w:tcPr>
                  <w:tcW w:w="634" w:type="dxa"/>
                </w:tcPr>
                <w:p w:rsidR="00636B56" w:rsidRPr="00884766" w:rsidRDefault="00636B56" w:rsidP="00884766">
                  <w:pPr>
                    <w:jc w:val="center"/>
                    <w:rPr>
                      <w:sz w:val="16"/>
                      <w:szCs w:val="16"/>
                    </w:rPr>
                  </w:pPr>
                  <w:r w:rsidRPr="00884766">
                    <w:rPr>
                      <w:sz w:val="16"/>
                      <w:szCs w:val="16"/>
                    </w:rPr>
                    <w:t>25-35</w:t>
                  </w:r>
                </w:p>
              </w:tc>
              <w:tc>
                <w:tcPr>
                  <w:tcW w:w="750" w:type="dxa"/>
                </w:tcPr>
                <w:p w:rsidR="00636B56" w:rsidRPr="00884766" w:rsidRDefault="00636B56" w:rsidP="00884766">
                  <w:pPr>
                    <w:jc w:val="center"/>
                    <w:rPr>
                      <w:sz w:val="16"/>
                      <w:szCs w:val="16"/>
                    </w:rPr>
                  </w:pPr>
                  <w:r w:rsidRPr="00884766">
                    <w:rPr>
                      <w:sz w:val="16"/>
                      <w:szCs w:val="16"/>
                    </w:rPr>
                    <w:t>10-20</w:t>
                  </w:r>
                </w:p>
              </w:tc>
              <w:tc>
                <w:tcPr>
                  <w:tcW w:w="661" w:type="dxa"/>
                </w:tcPr>
                <w:p w:rsidR="00636B56" w:rsidRPr="00884766" w:rsidRDefault="00636B56" w:rsidP="00884766">
                  <w:pPr>
                    <w:jc w:val="center"/>
                    <w:rPr>
                      <w:sz w:val="16"/>
                      <w:szCs w:val="16"/>
                    </w:rPr>
                  </w:pPr>
                  <w:r w:rsidRPr="00884766">
                    <w:rPr>
                      <w:sz w:val="16"/>
                      <w:szCs w:val="16"/>
                    </w:rPr>
                    <w:t>5010</w:t>
                  </w:r>
                </w:p>
              </w:tc>
            </w:tr>
            <w:tr w:rsidR="00636B56" w:rsidTr="006051F4">
              <w:tc>
                <w:tcPr>
                  <w:tcW w:w="425" w:type="dxa"/>
                </w:tcPr>
                <w:p w:rsidR="00636B56" w:rsidRPr="00884766" w:rsidRDefault="00636B56" w:rsidP="00884766">
                  <w:pPr>
                    <w:jc w:val="center"/>
                    <w:rPr>
                      <w:sz w:val="16"/>
                      <w:szCs w:val="16"/>
                    </w:rPr>
                  </w:pPr>
                  <w:r>
                    <w:rPr>
                      <w:sz w:val="16"/>
                      <w:szCs w:val="16"/>
                    </w:rPr>
                    <w:t>2</w:t>
                  </w:r>
                </w:p>
              </w:tc>
              <w:tc>
                <w:tcPr>
                  <w:tcW w:w="1016" w:type="dxa"/>
                </w:tcPr>
                <w:p w:rsidR="00636B56" w:rsidRPr="00884766" w:rsidRDefault="00636B56" w:rsidP="00884766">
                  <w:pPr>
                    <w:jc w:val="center"/>
                    <w:rPr>
                      <w:sz w:val="16"/>
                      <w:szCs w:val="16"/>
                    </w:rPr>
                  </w:pPr>
                  <w:r w:rsidRPr="00884766">
                    <w:rPr>
                      <w:sz w:val="16"/>
                      <w:szCs w:val="16"/>
                    </w:rPr>
                    <w:t>Materiale pentru servirea hranei și colectarea deșeurilor</w:t>
                  </w:r>
                </w:p>
              </w:tc>
              <w:tc>
                <w:tcPr>
                  <w:tcW w:w="634" w:type="dxa"/>
                </w:tcPr>
                <w:p w:rsidR="00636B56" w:rsidRPr="00884766" w:rsidRDefault="00636B56" w:rsidP="00884766">
                  <w:pPr>
                    <w:jc w:val="center"/>
                    <w:rPr>
                      <w:sz w:val="16"/>
                      <w:szCs w:val="16"/>
                    </w:rPr>
                  </w:pPr>
                  <w:r w:rsidRPr="00884766">
                    <w:rPr>
                      <w:sz w:val="16"/>
                      <w:szCs w:val="16"/>
                    </w:rPr>
                    <w:t>pachet</w:t>
                  </w:r>
                </w:p>
              </w:tc>
              <w:tc>
                <w:tcPr>
                  <w:tcW w:w="643" w:type="dxa"/>
                </w:tcPr>
                <w:p w:rsidR="00636B56" w:rsidRPr="00884766" w:rsidRDefault="00636B56" w:rsidP="00884766">
                  <w:pPr>
                    <w:jc w:val="center"/>
                    <w:rPr>
                      <w:sz w:val="16"/>
                      <w:szCs w:val="16"/>
                    </w:rPr>
                  </w:pPr>
                  <w:r w:rsidRPr="00884766">
                    <w:rPr>
                      <w:sz w:val="16"/>
                      <w:szCs w:val="16"/>
                    </w:rPr>
                    <w:t>3</w:t>
                  </w:r>
                </w:p>
              </w:tc>
              <w:tc>
                <w:tcPr>
                  <w:tcW w:w="670" w:type="dxa"/>
                </w:tcPr>
                <w:p w:rsidR="00636B56" w:rsidRDefault="00636B56" w:rsidP="00884766">
                  <w:r w:rsidRPr="00437B0F">
                    <w:rPr>
                      <w:sz w:val="16"/>
                      <w:szCs w:val="16"/>
                    </w:rPr>
                    <w:t>-</w:t>
                  </w:r>
                </w:p>
              </w:tc>
              <w:tc>
                <w:tcPr>
                  <w:tcW w:w="634" w:type="dxa"/>
                </w:tcPr>
                <w:p w:rsidR="00636B56" w:rsidRDefault="00636B56" w:rsidP="00884766">
                  <w:r w:rsidRPr="00437B0F">
                    <w:rPr>
                      <w:sz w:val="16"/>
                      <w:szCs w:val="16"/>
                    </w:rPr>
                    <w:t>-</w:t>
                  </w:r>
                </w:p>
              </w:tc>
              <w:tc>
                <w:tcPr>
                  <w:tcW w:w="750" w:type="dxa"/>
                </w:tcPr>
                <w:p w:rsidR="00636B56" w:rsidRDefault="00636B56" w:rsidP="00884766">
                  <w:r w:rsidRPr="00437B0F">
                    <w:rPr>
                      <w:sz w:val="16"/>
                      <w:szCs w:val="16"/>
                    </w:rPr>
                    <w:t>-</w:t>
                  </w:r>
                </w:p>
              </w:tc>
              <w:tc>
                <w:tcPr>
                  <w:tcW w:w="661" w:type="dxa"/>
                </w:tcPr>
                <w:p w:rsidR="00636B56" w:rsidRDefault="00636B56" w:rsidP="00884766">
                  <w:r w:rsidRPr="00437B0F">
                    <w:rPr>
                      <w:sz w:val="16"/>
                      <w:szCs w:val="16"/>
                    </w:rPr>
                    <w:t>-</w:t>
                  </w:r>
                </w:p>
              </w:tc>
            </w:tr>
            <w:tr w:rsidR="00636B56" w:rsidTr="006051F4">
              <w:tc>
                <w:tcPr>
                  <w:tcW w:w="425" w:type="dxa"/>
                </w:tcPr>
                <w:p w:rsidR="00636B56" w:rsidRPr="00884766" w:rsidRDefault="00636B56" w:rsidP="00884766">
                  <w:pPr>
                    <w:jc w:val="center"/>
                    <w:rPr>
                      <w:sz w:val="16"/>
                      <w:szCs w:val="16"/>
                    </w:rPr>
                  </w:pPr>
                  <w:r>
                    <w:rPr>
                      <w:sz w:val="16"/>
                      <w:szCs w:val="16"/>
                    </w:rPr>
                    <w:t>4</w:t>
                  </w:r>
                </w:p>
              </w:tc>
              <w:tc>
                <w:tcPr>
                  <w:tcW w:w="1016" w:type="dxa"/>
                </w:tcPr>
                <w:p w:rsidR="00636B56" w:rsidRPr="00884766" w:rsidRDefault="00636B56" w:rsidP="00884766">
                  <w:pPr>
                    <w:jc w:val="center"/>
                    <w:rPr>
                      <w:sz w:val="16"/>
                      <w:szCs w:val="16"/>
                    </w:rPr>
                  </w:pPr>
                  <w:r w:rsidRPr="00884766">
                    <w:rPr>
                      <w:sz w:val="16"/>
                      <w:szCs w:val="16"/>
                    </w:rPr>
                    <w:t>Surse de încălzire</w:t>
                  </w:r>
                </w:p>
              </w:tc>
              <w:tc>
                <w:tcPr>
                  <w:tcW w:w="634" w:type="dxa"/>
                </w:tcPr>
                <w:p w:rsidR="00636B56" w:rsidRPr="00884766" w:rsidRDefault="00636B56" w:rsidP="00884766">
                  <w:pPr>
                    <w:jc w:val="center"/>
                    <w:rPr>
                      <w:sz w:val="16"/>
                      <w:szCs w:val="16"/>
                    </w:rPr>
                  </w:pPr>
                  <w:r w:rsidRPr="00884766">
                    <w:rPr>
                      <w:sz w:val="16"/>
                      <w:szCs w:val="16"/>
                    </w:rPr>
                    <w:t>Buc.</w:t>
                  </w:r>
                </w:p>
              </w:tc>
              <w:tc>
                <w:tcPr>
                  <w:tcW w:w="643" w:type="dxa"/>
                </w:tcPr>
                <w:p w:rsidR="00636B56" w:rsidRPr="00884766" w:rsidRDefault="00636B56" w:rsidP="00884766">
                  <w:pPr>
                    <w:jc w:val="center"/>
                    <w:rPr>
                      <w:sz w:val="16"/>
                      <w:szCs w:val="16"/>
                    </w:rPr>
                  </w:pPr>
                  <w:r w:rsidRPr="00884766">
                    <w:rPr>
                      <w:sz w:val="16"/>
                      <w:szCs w:val="16"/>
                    </w:rPr>
                    <w:t>4</w:t>
                  </w:r>
                </w:p>
              </w:tc>
              <w:tc>
                <w:tcPr>
                  <w:tcW w:w="670" w:type="dxa"/>
                </w:tcPr>
                <w:p w:rsidR="00636B56" w:rsidRDefault="00636B56" w:rsidP="00884766">
                  <w:r w:rsidRPr="00437B0F">
                    <w:rPr>
                      <w:sz w:val="16"/>
                      <w:szCs w:val="16"/>
                    </w:rPr>
                    <w:t>-</w:t>
                  </w:r>
                </w:p>
              </w:tc>
              <w:tc>
                <w:tcPr>
                  <w:tcW w:w="634" w:type="dxa"/>
                </w:tcPr>
                <w:p w:rsidR="00636B56" w:rsidRDefault="00636B56" w:rsidP="00884766">
                  <w:r w:rsidRPr="00437B0F">
                    <w:rPr>
                      <w:sz w:val="16"/>
                      <w:szCs w:val="16"/>
                    </w:rPr>
                    <w:t>-</w:t>
                  </w:r>
                </w:p>
              </w:tc>
              <w:tc>
                <w:tcPr>
                  <w:tcW w:w="750" w:type="dxa"/>
                </w:tcPr>
                <w:p w:rsidR="00636B56" w:rsidRDefault="00636B56" w:rsidP="00884766">
                  <w:r w:rsidRPr="00437B0F">
                    <w:rPr>
                      <w:sz w:val="16"/>
                      <w:szCs w:val="16"/>
                    </w:rPr>
                    <w:t>-</w:t>
                  </w:r>
                </w:p>
              </w:tc>
              <w:tc>
                <w:tcPr>
                  <w:tcW w:w="661" w:type="dxa"/>
                </w:tcPr>
                <w:p w:rsidR="00636B56" w:rsidRDefault="00636B56" w:rsidP="00884766">
                  <w:r w:rsidRPr="00437B0F">
                    <w:rPr>
                      <w:sz w:val="16"/>
                      <w:szCs w:val="16"/>
                    </w:rPr>
                    <w:t>-</w:t>
                  </w:r>
                </w:p>
              </w:tc>
            </w:tr>
          </w:tbl>
          <w:p w:rsidR="00636B56" w:rsidRDefault="00636B56" w:rsidP="00884766">
            <w:pPr>
              <w:jc w:val="center"/>
              <w:rPr>
                <w:sz w:val="20"/>
                <w:szCs w:val="20"/>
              </w:rPr>
            </w:pP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A340DB" w:rsidRPr="0011170D" w:rsidTr="00A340DB">
        <w:trPr>
          <w:cantSplit/>
          <w:trHeight w:hRule="exact" w:val="2976"/>
        </w:trPr>
        <w:tc>
          <w:tcPr>
            <w:tcW w:w="1168" w:type="dxa"/>
            <w:vMerge/>
            <w:vAlign w:val="center"/>
          </w:tcPr>
          <w:p w:rsidR="00A340DB" w:rsidRPr="0011170D" w:rsidRDefault="00A340DB" w:rsidP="00884766">
            <w:pPr>
              <w:rPr>
                <w:b/>
              </w:rPr>
            </w:pPr>
          </w:p>
        </w:tc>
        <w:tc>
          <w:tcPr>
            <w:tcW w:w="5490" w:type="dxa"/>
            <w:vAlign w:val="center"/>
          </w:tcPr>
          <w:p w:rsidR="00A340DB" w:rsidRDefault="00A340DB" w:rsidP="006051F4">
            <w:pPr>
              <w:rPr>
                <w:sz w:val="20"/>
                <w:szCs w:val="20"/>
              </w:rPr>
            </w:pPr>
            <w:r>
              <w:rPr>
                <w:sz w:val="20"/>
                <w:szCs w:val="20"/>
              </w:rPr>
              <w:t xml:space="preserve">Alimentele care compun rația individuală de luptă trebuie să asigure hrana adecvată unei persoane pentru 24 de ore, cu un aport caloric de 5010±20 calorii (50-60% carbohidrați, 25-35 % lipide și 10-20% proteine). </w:t>
            </w:r>
          </w:p>
          <w:p w:rsidR="00A340DB" w:rsidRDefault="00A340DB" w:rsidP="006051F4">
            <w:pPr>
              <w:rPr>
                <w:sz w:val="20"/>
                <w:szCs w:val="20"/>
              </w:rPr>
            </w:pPr>
            <w:r>
              <w:rPr>
                <w:sz w:val="20"/>
                <w:szCs w:val="20"/>
              </w:rPr>
              <w:t xml:space="preserve">Produsele alimentare vor fi grupate pe 3 mese principale (mic dejun, prânz, cină). </w:t>
            </w:r>
          </w:p>
          <w:p w:rsidR="00A340DB" w:rsidRDefault="00A340DB" w:rsidP="006051F4">
            <w:pPr>
              <w:rPr>
                <w:sz w:val="20"/>
                <w:szCs w:val="20"/>
              </w:rPr>
            </w:pPr>
            <w:r>
              <w:rPr>
                <w:sz w:val="20"/>
                <w:szCs w:val="20"/>
              </w:rPr>
              <w:t>Alimentele care compun rația individuală de luptă trebuie să furnizeze un aport caloric, repartizat astfel:</w:t>
            </w:r>
          </w:p>
          <w:p w:rsidR="00A340DB" w:rsidRDefault="00A340DB" w:rsidP="00A340DB">
            <w:pPr>
              <w:rPr>
                <w:sz w:val="20"/>
                <w:szCs w:val="20"/>
              </w:rPr>
            </w:pPr>
            <w:r>
              <w:rPr>
                <w:sz w:val="20"/>
                <w:szCs w:val="20"/>
              </w:rPr>
              <w:t>Micul dejun – min 25% - maxim 30 % din aportul caloric al rației;</w:t>
            </w:r>
          </w:p>
          <w:p w:rsidR="00A340DB" w:rsidRDefault="00A340DB" w:rsidP="00A340DB">
            <w:pPr>
              <w:rPr>
                <w:sz w:val="20"/>
                <w:szCs w:val="20"/>
              </w:rPr>
            </w:pPr>
            <w:r>
              <w:rPr>
                <w:sz w:val="20"/>
                <w:szCs w:val="20"/>
              </w:rPr>
              <w:t>Prânzul – minim 40% -  maxim 50% din aportul caloric al rației de luptă;</w:t>
            </w:r>
          </w:p>
          <w:p w:rsidR="00A340DB" w:rsidRDefault="00A340DB" w:rsidP="00A340DB">
            <w:pPr>
              <w:rPr>
                <w:sz w:val="20"/>
                <w:szCs w:val="20"/>
              </w:rPr>
            </w:pPr>
            <w:r>
              <w:rPr>
                <w:sz w:val="20"/>
                <w:szCs w:val="20"/>
              </w:rPr>
              <w:t xml:space="preserve">Cina – minim 20% - maxim 30% din aportul caloric al rației. </w:t>
            </w:r>
          </w:p>
          <w:p w:rsidR="00A340DB" w:rsidRDefault="00A340DB" w:rsidP="006051F4">
            <w:pPr>
              <w:rPr>
                <w:sz w:val="20"/>
                <w:szCs w:val="20"/>
              </w:rPr>
            </w:pPr>
          </w:p>
        </w:tc>
        <w:tc>
          <w:tcPr>
            <w:tcW w:w="2306" w:type="dxa"/>
            <w:vAlign w:val="center"/>
          </w:tcPr>
          <w:p w:rsidR="00A340DB" w:rsidRPr="0011170D" w:rsidRDefault="00A340DB" w:rsidP="00D36344">
            <w:pPr>
              <w:jc w:val="center"/>
            </w:pPr>
          </w:p>
        </w:tc>
        <w:tc>
          <w:tcPr>
            <w:tcW w:w="1325" w:type="dxa"/>
          </w:tcPr>
          <w:p w:rsidR="00A340DB" w:rsidRPr="0011170D" w:rsidRDefault="00A340DB" w:rsidP="00884766"/>
        </w:tc>
      </w:tr>
      <w:tr w:rsidR="00636B56" w:rsidRPr="0011170D" w:rsidTr="0074218F">
        <w:trPr>
          <w:trHeight w:hRule="exact" w:val="2976"/>
        </w:trPr>
        <w:tc>
          <w:tcPr>
            <w:tcW w:w="1168" w:type="dxa"/>
            <w:vMerge/>
            <w:vAlign w:val="center"/>
          </w:tcPr>
          <w:p w:rsidR="00636B56" w:rsidRPr="0011170D" w:rsidRDefault="00636B56" w:rsidP="00884766">
            <w:pPr>
              <w:rPr>
                <w:b/>
              </w:rPr>
            </w:pPr>
          </w:p>
        </w:tc>
        <w:tc>
          <w:tcPr>
            <w:tcW w:w="5490" w:type="dxa"/>
            <w:vAlign w:val="center"/>
          </w:tcPr>
          <w:p w:rsidR="00636B56" w:rsidRPr="00A340DB" w:rsidRDefault="00A340DB" w:rsidP="00A340DB">
            <w:pPr>
              <w:rPr>
                <w:sz w:val="20"/>
                <w:szCs w:val="20"/>
              </w:rPr>
            </w:pPr>
            <w:r w:rsidRPr="00A340DB">
              <w:rPr>
                <w:sz w:val="20"/>
                <w:szCs w:val="20"/>
              </w:rPr>
              <w:t>Structura unei mese:</w:t>
            </w:r>
          </w:p>
          <w:p w:rsidR="00A340DB" w:rsidRP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Un fel principal de tipul MRE</w:t>
            </w:r>
          </w:p>
          <w:p w:rsidR="00A340DB" w:rsidRP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Biscuiți (crakers) sau pâine;</w:t>
            </w:r>
          </w:p>
          <w:p w:rsidR="00A340DB" w:rsidRP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Băuturi reci sau calde</w:t>
            </w:r>
          </w:p>
          <w:p w:rsidR="00A340DB" w:rsidRP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 xml:space="preserve">Gustări </w:t>
            </w:r>
          </w:p>
          <w:p w:rsidR="00A340DB" w:rsidRP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Dulciuri</w:t>
            </w:r>
          </w:p>
          <w:p w:rsidR="00A340DB" w:rsidRDefault="00A340DB" w:rsidP="00A340DB">
            <w:pPr>
              <w:pStyle w:val="ListParagraph"/>
              <w:numPr>
                <w:ilvl w:val="0"/>
                <w:numId w:val="2"/>
              </w:numPr>
              <w:spacing w:after="0" w:line="240" w:lineRule="auto"/>
              <w:rPr>
                <w:rFonts w:ascii="Times New Roman" w:hAnsi="Times New Roman"/>
                <w:sz w:val="20"/>
                <w:szCs w:val="20"/>
              </w:rPr>
            </w:pPr>
            <w:r w:rsidRPr="00A340DB">
              <w:rPr>
                <w:rFonts w:ascii="Times New Roman" w:hAnsi="Times New Roman"/>
                <w:sz w:val="20"/>
                <w:szCs w:val="20"/>
              </w:rPr>
              <w:t>Produse alimentare tartinabile</w:t>
            </w:r>
          </w:p>
          <w:p w:rsidR="00A340DB" w:rsidRPr="00A340DB" w:rsidRDefault="00A340DB" w:rsidP="00A340DB">
            <w:pPr>
              <w:rPr>
                <w:sz w:val="20"/>
                <w:szCs w:val="20"/>
              </w:rPr>
            </w:pPr>
            <w:r w:rsidRPr="00A340DB">
              <w:rPr>
                <w:sz w:val="20"/>
                <w:szCs w:val="20"/>
              </w:rPr>
              <w:t>Produsele alimentare care se consumă după o prealabilă rehidratare</w:t>
            </w:r>
            <w:r>
              <w:rPr>
                <w:sz w:val="20"/>
                <w:szCs w:val="20"/>
              </w:rPr>
              <w:t xml:space="preserve"> trebuie să utilizeze apă rece sau asigurarea posibilității încălzirii apei cu aceeași sursă de încălzire a felului principal.</w:t>
            </w:r>
          </w:p>
          <w:p w:rsidR="00636B56" w:rsidRDefault="00A340DB" w:rsidP="00A340DB">
            <w:pPr>
              <w:rPr>
                <w:sz w:val="20"/>
                <w:szCs w:val="20"/>
              </w:rPr>
            </w:pPr>
            <w:r>
              <w:rPr>
                <w:sz w:val="20"/>
                <w:szCs w:val="20"/>
              </w:rPr>
              <w:t>Structura rației individuale de luptă poate avea o toleranță de ±20 calorii față de prevederile normei (5010 calorii).</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AA69A4" w:rsidRPr="0011170D" w:rsidTr="00AA69A4">
        <w:trPr>
          <w:trHeight w:hRule="exact" w:val="862"/>
        </w:trPr>
        <w:tc>
          <w:tcPr>
            <w:tcW w:w="1168" w:type="dxa"/>
            <w:vMerge/>
            <w:vAlign w:val="center"/>
          </w:tcPr>
          <w:p w:rsidR="00AA69A4" w:rsidRPr="0011170D" w:rsidRDefault="00AA69A4" w:rsidP="00884766">
            <w:pPr>
              <w:rPr>
                <w:b/>
              </w:rPr>
            </w:pPr>
          </w:p>
        </w:tc>
        <w:tc>
          <w:tcPr>
            <w:tcW w:w="5490" w:type="dxa"/>
            <w:vAlign w:val="center"/>
          </w:tcPr>
          <w:p w:rsidR="00AA69A4" w:rsidRPr="00A340DB" w:rsidRDefault="00AA69A4" w:rsidP="00A340DB">
            <w:pPr>
              <w:rPr>
                <w:sz w:val="20"/>
                <w:szCs w:val="20"/>
              </w:rPr>
            </w:pPr>
            <w:r>
              <w:rPr>
                <w:sz w:val="20"/>
                <w:szCs w:val="20"/>
              </w:rPr>
              <w:t>Mâncarea gătită de tipul MRE (meal ready to eat) – felul principal, trebuie să fie obținută prin prelucrarea cărnii de porc, pui, vită. Nu se admite utilizarea cărnii separată mecanic.</w:t>
            </w:r>
          </w:p>
        </w:tc>
        <w:tc>
          <w:tcPr>
            <w:tcW w:w="2306" w:type="dxa"/>
            <w:vAlign w:val="center"/>
          </w:tcPr>
          <w:p w:rsidR="00AA69A4" w:rsidRPr="0011170D" w:rsidRDefault="00AA69A4" w:rsidP="00D36344">
            <w:pPr>
              <w:jc w:val="center"/>
            </w:pPr>
          </w:p>
        </w:tc>
        <w:tc>
          <w:tcPr>
            <w:tcW w:w="1325" w:type="dxa"/>
          </w:tcPr>
          <w:p w:rsidR="00AA69A4" w:rsidRPr="0011170D" w:rsidRDefault="00AA69A4" w:rsidP="00884766"/>
        </w:tc>
      </w:tr>
      <w:tr w:rsidR="00636B56" w:rsidRPr="0011170D" w:rsidTr="00AA69A4">
        <w:trPr>
          <w:trHeight w:hRule="exact" w:val="1272"/>
        </w:trPr>
        <w:tc>
          <w:tcPr>
            <w:tcW w:w="1168" w:type="dxa"/>
            <w:vMerge/>
            <w:vAlign w:val="center"/>
          </w:tcPr>
          <w:p w:rsidR="00636B56" w:rsidRPr="0011170D" w:rsidRDefault="00636B56" w:rsidP="00884766">
            <w:pPr>
              <w:rPr>
                <w:b/>
              </w:rPr>
            </w:pPr>
          </w:p>
        </w:tc>
        <w:tc>
          <w:tcPr>
            <w:tcW w:w="5490" w:type="dxa"/>
            <w:vAlign w:val="center"/>
          </w:tcPr>
          <w:p w:rsidR="00636B56" w:rsidRDefault="00636B56" w:rsidP="00884766">
            <w:pPr>
              <w:rPr>
                <w:sz w:val="20"/>
                <w:szCs w:val="20"/>
              </w:rPr>
            </w:pPr>
            <w:r>
              <w:rPr>
                <w:sz w:val="20"/>
                <w:szCs w:val="20"/>
              </w:rPr>
              <w:t>Materialele pentru servirea hranei din compunerea rației individuale de luptă prevăzute la pc. 3, l</w:t>
            </w:r>
            <w:r w:rsidR="00AA69A4">
              <w:rPr>
                <w:sz w:val="20"/>
                <w:szCs w:val="20"/>
              </w:rPr>
              <w:t>it. b), nr. crt. 1, 2 din ST 873-22, ediția I</w:t>
            </w:r>
            <w:r>
              <w:rPr>
                <w:sz w:val="20"/>
                <w:szCs w:val="20"/>
              </w:rPr>
              <w:t xml:space="preserve">, vor fi asigurate cu respectarea prevederilor OG 6/2021 privind reducerea impactului anumitor produse din plastic asupra mediului. </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884766" w:rsidRPr="0011170D" w:rsidTr="006E3E14">
        <w:trPr>
          <w:trHeight w:hRule="exact" w:val="1417"/>
        </w:trPr>
        <w:tc>
          <w:tcPr>
            <w:tcW w:w="1168" w:type="dxa"/>
            <w:vAlign w:val="center"/>
          </w:tcPr>
          <w:p w:rsidR="003B2E77" w:rsidRPr="0011170D" w:rsidRDefault="003B2E77" w:rsidP="00884766">
            <w:pPr>
              <w:rPr>
                <w:b/>
              </w:rPr>
            </w:pPr>
          </w:p>
        </w:tc>
        <w:tc>
          <w:tcPr>
            <w:tcW w:w="5490" w:type="dxa"/>
            <w:tcBorders>
              <w:bottom w:val="single" w:sz="4" w:space="0" w:color="auto"/>
            </w:tcBorders>
            <w:vAlign w:val="center"/>
          </w:tcPr>
          <w:p w:rsidR="003B2E77" w:rsidRDefault="003B2E77" w:rsidP="00AE3FD4">
            <w:pPr>
              <w:rPr>
                <w:sz w:val="20"/>
                <w:szCs w:val="20"/>
              </w:rPr>
            </w:pPr>
            <w:r w:rsidRPr="00AE3FD4">
              <w:rPr>
                <w:sz w:val="20"/>
                <w:szCs w:val="20"/>
              </w:rPr>
              <w:t>Valabilitate</w:t>
            </w:r>
          </w:p>
          <w:p w:rsidR="00AA69A4" w:rsidRDefault="005213B4" w:rsidP="00AE3FD4">
            <w:pPr>
              <w:rPr>
                <w:sz w:val="20"/>
                <w:szCs w:val="20"/>
              </w:rPr>
            </w:pPr>
            <w:r>
              <w:rPr>
                <w:sz w:val="20"/>
                <w:szCs w:val="20"/>
              </w:rPr>
              <w:t>Produsul trebuie să fie acoperit de val</w:t>
            </w:r>
            <w:r w:rsidR="00AA69A4">
              <w:rPr>
                <w:sz w:val="20"/>
                <w:szCs w:val="20"/>
              </w:rPr>
              <w:t>abilitate pentru cel puțin perioada prevăzută în coloana 10/nota 1 a tabelului 3.4.1.</w:t>
            </w:r>
          </w:p>
          <w:p w:rsidR="005213B4" w:rsidRDefault="00AA69A4" w:rsidP="00AE3FD4">
            <w:pPr>
              <w:rPr>
                <w:sz w:val="20"/>
                <w:szCs w:val="20"/>
              </w:rPr>
            </w:pPr>
            <w:r>
              <w:rPr>
                <w:sz w:val="20"/>
                <w:szCs w:val="20"/>
              </w:rPr>
              <w:t xml:space="preserve">Pe durata termenului de valabilitate, reprezentanții UM 02411 București, pot efectua verificarea calității (periodic sau ori de câte ori este nevoie) conform prevederilor punctului 4 din ST-873-22. </w:t>
            </w:r>
          </w:p>
          <w:p w:rsidR="005213B4" w:rsidRPr="00AE3FD4" w:rsidRDefault="005213B4" w:rsidP="00AE3FD4">
            <w:pPr>
              <w:rPr>
                <w:sz w:val="20"/>
                <w:szCs w:val="20"/>
              </w:rPr>
            </w:pPr>
          </w:p>
        </w:tc>
        <w:tc>
          <w:tcPr>
            <w:tcW w:w="2306" w:type="dxa"/>
            <w:tcBorders>
              <w:bottom w:val="single" w:sz="4" w:space="0" w:color="auto"/>
            </w:tcBorders>
            <w:vAlign w:val="center"/>
          </w:tcPr>
          <w:p w:rsidR="003B2E77" w:rsidRPr="0011170D" w:rsidRDefault="003B2E77" w:rsidP="00D36344">
            <w:pPr>
              <w:jc w:val="center"/>
            </w:pPr>
          </w:p>
        </w:tc>
        <w:tc>
          <w:tcPr>
            <w:tcW w:w="1325" w:type="dxa"/>
          </w:tcPr>
          <w:p w:rsidR="003B2E77" w:rsidRPr="0011170D" w:rsidRDefault="003B2E77" w:rsidP="00884766"/>
        </w:tc>
      </w:tr>
      <w:tr w:rsidR="00884766" w:rsidRPr="0011170D" w:rsidTr="006E3E14">
        <w:tc>
          <w:tcPr>
            <w:tcW w:w="1168" w:type="dxa"/>
            <w:tcBorders>
              <w:right w:val="single" w:sz="4" w:space="0" w:color="auto"/>
            </w:tcBorders>
            <w:vAlign w:val="center"/>
          </w:tcPr>
          <w:p w:rsidR="00317E53" w:rsidRPr="0011170D" w:rsidRDefault="00317E53" w:rsidP="00884766">
            <w:pPr>
              <w:rPr>
                <w:b/>
              </w:rPr>
            </w:pPr>
          </w:p>
        </w:tc>
        <w:tc>
          <w:tcPr>
            <w:tcW w:w="5490" w:type="dxa"/>
            <w:tcBorders>
              <w:top w:val="single" w:sz="4" w:space="0" w:color="auto"/>
              <w:left w:val="single" w:sz="4" w:space="0" w:color="auto"/>
              <w:bottom w:val="single" w:sz="4" w:space="0" w:color="auto"/>
              <w:right w:val="single" w:sz="4" w:space="0" w:color="auto"/>
            </w:tcBorders>
            <w:vAlign w:val="center"/>
          </w:tcPr>
          <w:p w:rsidR="00317E53" w:rsidRDefault="00317E53" w:rsidP="00AE3FD4">
            <w:pPr>
              <w:numPr>
                <w:ilvl w:val="0"/>
                <w:numId w:val="2"/>
              </w:numPr>
              <w:ind w:left="135" w:hanging="142"/>
              <w:rPr>
                <w:b/>
                <w:i/>
                <w:sz w:val="20"/>
                <w:szCs w:val="20"/>
              </w:rPr>
            </w:pPr>
            <w:r w:rsidRPr="005213B4">
              <w:rPr>
                <w:b/>
                <w:i/>
                <w:sz w:val="20"/>
                <w:szCs w:val="20"/>
              </w:rPr>
              <w:t>Livrare, ambalare, etichetare, transport și asigurare pe durata transportului</w:t>
            </w:r>
          </w:p>
          <w:p w:rsidR="00AA69A4" w:rsidRPr="00AA69A4" w:rsidRDefault="00AA69A4" w:rsidP="00AA69A4">
            <w:pPr>
              <w:ind w:left="-7"/>
              <w:rPr>
                <w:sz w:val="20"/>
                <w:szCs w:val="20"/>
              </w:rPr>
            </w:pPr>
            <w:r w:rsidRPr="00AA69A4">
              <w:rPr>
                <w:sz w:val="20"/>
                <w:szCs w:val="20"/>
              </w:rPr>
              <w:t>Condiția de livrare este DDP (depozit – unitate militară primitoare) conform Incoterms 2010</w:t>
            </w:r>
            <w:r>
              <w:rPr>
                <w:sz w:val="20"/>
                <w:szCs w:val="20"/>
              </w:rPr>
              <w:t>.</w:t>
            </w:r>
          </w:p>
          <w:p w:rsidR="005213B4" w:rsidRDefault="005213B4" w:rsidP="005213B4">
            <w:pPr>
              <w:rPr>
                <w:sz w:val="20"/>
                <w:szCs w:val="20"/>
              </w:rPr>
            </w:pPr>
            <w:r w:rsidRPr="00D77B45">
              <w:rPr>
                <w:sz w:val="20"/>
                <w:szCs w:val="20"/>
              </w:rPr>
              <w:t xml:space="preserve">Termenul de livrare este cel prevazut la pct. 3.4.1. </w:t>
            </w:r>
          </w:p>
          <w:p w:rsidR="006E3E14" w:rsidRDefault="005213B4" w:rsidP="005213B4">
            <w:pPr>
              <w:rPr>
                <w:sz w:val="20"/>
                <w:szCs w:val="20"/>
              </w:rPr>
            </w:pPr>
            <w:r w:rsidRPr="00D77B45">
              <w:rPr>
                <w:sz w:val="20"/>
                <w:szCs w:val="20"/>
              </w:rPr>
              <w:t xml:space="preserve">Un produs este considerat livrat cand toate activitatile prevazute </w:t>
            </w:r>
            <w:r w:rsidR="00AA69A4">
              <w:rPr>
                <w:sz w:val="20"/>
                <w:szCs w:val="20"/>
              </w:rPr>
              <w:t xml:space="preserve">în contract au fost prealizate și produsul corespunde parametrilor agreați </w:t>
            </w:r>
            <w:r w:rsidR="006E3E14">
              <w:rPr>
                <w:sz w:val="20"/>
                <w:szCs w:val="20"/>
              </w:rPr>
              <w:t>și este acceptat de autoritatea contractantă</w:t>
            </w:r>
            <w:r w:rsidRPr="00D77B45">
              <w:rPr>
                <w:sz w:val="20"/>
                <w:szCs w:val="20"/>
              </w:rPr>
              <w:t xml:space="preserve">. </w:t>
            </w:r>
          </w:p>
          <w:p w:rsidR="006E3E14" w:rsidRDefault="006E3E14" w:rsidP="005213B4">
            <w:pPr>
              <w:rPr>
                <w:sz w:val="20"/>
                <w:szCs w:val="20"/>
              </w:rPr>
            </w:pPr>
            <w:r>
              <w:rPr>
                <w:sz w:val="20"/>
                <w:szCs w:val="20"/>
              </w:rPr>
              <w:t>Transportul și toate costurile asociate sunt în sarcina exclusivă a contractantului</w:t>
            </w:r>
          </w:p>
          <w:p w:rsidR="006E3E14" w:rsidRDefault="005213B4" w:rsidP="005213B4">
            <w:pPr>
              <w:rPr>
                <w:sz w:val="20"/>
                <w:szCs w:val="20"/>
              </w:rPr>
            </w:pPr>
            <w:r w:rsidRPr="00D77B45">
              <w:rPr>
                <w:sz w:val="20"/>
                <w:szCs w:val="20"/>
              </w:rPr>
              <w:t>Transportul produselor se va efectua cu mijloacele de tr</w:t>
            </w:r>
            <w:r w:rsidR="006E3E14">
              <w:rPr>
                <w:sz w:val="20"/>
                <w:szCs w:val="20"/>
              </w:rPr>
              <w:t>ansport</w:t>
            </w:r>
            <w:r w:rsidRPr="00D77B45">
              <w:rPr>
                <w:sz w:val="20"/>
                <w:szCs w:val="20"/>
              </w:rPr>
              <w:t xml:space="preserve">, autorizate sanitar, care sa asigure pe toata durata transportului protectie impotriva umezelii, contaminarii si deteriorarii. Locul de livrare este </w:t>
            </w:r>
            <w:r w:rsidR="006E3E14">
              <w:rPr>
                <w:sz w:val="20"/>
                <w:szCs w:val="20"/>
              </w:rPr>
              <w:t>cel prevăzut la punctul 3.4.1</w:t>
            </w:r>
          </w:p>
          <w:p w:rsidR="005213B4" w:rsidRDefault="005213B4" w:rsidP="005213B4">
            <w:pPr>
              <w:rPr>
                <w:sz w:val="20"/>
                <w:szCs w:val="20"/>
              </w:rPr>
            </w:pPr>
            <w:r w:rsidRPr="00D77B45">
              <w:rPr>
                <w:sz w:val="20"/>
                <w:szCs w:val="20"/>
              </w:rPr>
              <w:t xml:space="preserve">Pe toata perioada de </w:t>
            </w:r>
            <w:r>
              <w:rPr>
                <w:sz w:val="20"/>
                <w:szCs w:val="20"/>
              </w:rPr>
              <w:t xml:space="preserve">derulare a </w:t>
            </w:r>
            <w:r w:rsidR="006E3E14">
              <w:rPr>
                <w:sz w:val="20"/>
                <w:szCs w:val="20"/>
              </w:rPr>
              <w:t>contractului</w:t>
            </w:r>
            <w:r>
              <w:rPr>
                <w:sz w:val="20"/>
                <w:szCs w:val="20"/>
              </w:rPr>
              <w:t xml:space="preserve">, </w:t>
            </w:r>
            <w:r w:rsidR="006E3E14">
              <w:rPr>
                <w:sz w:val="20"/>
                <w:szCs w:val="20"/>
              </w:rPr>
              <w:t>contractantul</w:t>
            </w:r>
            <w:r>
              <w:rPr>
                <w:sz w:val="20"/>
                <w:szCs w:val="20"/>
              </w:rPr>
              <w:t xml:space="preserve"> are </w:t>
            </w:r>
            <w:r w:rsidRPr="00D77B45">
              <w:rPr>
                <w:sz w:val="20"/>
                <w:szCs w:val="20"/>
              </w:rPr>
              <w:t xml:space="preserve">urmatoarele obligatii: </w:t>
            </w:r>
          </w:p>
          <w:p w:rsidR="005213B4" w:rsidRPr="000041D8" w:rsidRDefault="005213B4" w:rsidP="005213B4">
            <w:pPr>
              <w:rPr>
                <w:i/>
                <w:sz w:val="20"/>
                <w:szCs w:val="20"/>
              </w:rPr>
            </w:pPr>
            <w:r>
              <w:rPr>
                <w:sz w:val="20"/>
                <w:szCs w:val="20"/>
              </w:rPr>
              <w:t>-</w:t>
            </w:r>
            <w:r w:rsidRPr="000041D8">
              <w:rPr>
                <w:i/>
                <w:sz w:val="20"/>
                <w:szCs w:val="20"/>
              </w:rPr>
              <w:t>să livreze produsele conform conditiilor de calitate prevazute in specificatia tehnica (inclusa in caietul de sa</w:t>
            </w:r>
            <w:r w:rsidR="006E3E14">
              <w:rPr>
                <w:i/>
                <w:sz w:val="20"/>
                <w:szCs w:val="20"/>
              </w:rPr>
              <w:t>rcini</w:t>
            </w:r>
            <w:r w:rsidRPr="000041D8">
              <w:rPr>
                <w:i/>
                <w:sz w:val="20"/>
                <w:szCs w:val="20"/>
              </w:rPr>
              <w:t xml:space="preserve">) </w:t>
            </w:r>
          </w:p>
          <w:p w:rsidR="000041D8" w:rsidRPr="000041D8" w:rsidRDefault="005213B4" w:rsidP="005213B4">
            <w:pPr>
              <w:rPr>
                <w:i/>
                <w:sz w:val="20"/>
                <w:szCs w:val="20"/>
              </w:rPr>
            </w:pPr>
            <w:r w:rsidRPr="000041D8">
              <w:rPr>
                <w:i/>
                <w:sz w:val="20"/>
                <w:szCs w:val="20"/>
              </w:rPr>
              <w:t xml:space="preserve">- produsele prevazute in  structura ratiei individuale de lupta să fie asigurate numai de la producatorii declarați prin propunerea tehnică. </w:t>
            </w:r>
          </w:p>
          <w:p w:rsidR="006E3E14" w:rsidRPr="00E12028" w:rsidRDefault="005213B4" w:rsidP="005213B4">
            <w:pPr>
              <w:rPr>
                <w:i/>
                <w:sz w:val="20"/>
                <w:szCs w:val="20"/>
              </w:rPr>
            </w:pPr>
            <w:r w:rsidRPr="000041D8">
              <w:rPr>
                <w:i/>
                <w:sz w:val="20"/>
                <w:szCs w:val="20"/>
              </w:rPr>
              <w:t xml:space="preserve">Ratiile de lupta care au o durata de depozitare in </w:t>
            </w:r>
            <w:r w:rsidR="000041D8" w:rsidRPr="000041D8">
              <w:rPr>
                <w:i/>
                <w:sz w:val="20"/>
                <w:szCs w:val="20"/>
              </w:rPr>
              <w:t>mediu controlat la temperaturi ≥</w:t>
            </w:r>
            <w:r w:rsidRPr="000041D8">
              <w:rPr>
                <w:i/>
                <w:sz w:val="20"/>
                <w:szCs w:val="20"/>
              </w:rPr>
              <w:t>25</w:t>
            </w:r>
            <w:r w:rsidRPr="000041D8">
              <w:rPr>
                <w:rFonts w:ascii="Cambria Math" w:hAnsi="Cambria Math" w:cs="Cambria Math"/>
                <w:i/>
                <w:sz w:val="20"/>
                <w:szCs w:val="20"/>
              </w:rPr>
              <w:t>℃</w:t>
            </w:r>
            <w:r w:rsidRPr="000041D8">
              <w:rPr>
                <w:i/>
                <w:sz w:val="20"/>
                <w:szCs w:val="20"/>
              </w:rPr>
              <w:t xml:space="preserve"> anterioara momentului livrarii, mai mare de 30 de zile, sunt declarate neconforme si nu se supun activitatii de receptie calitativa si c</w:t>
            </w:r>
            <w:r w:rsidR="00E12028">
              <w:rPr>
                <w:i/>
                <w:sz w:val="20"/>
                <w:szCs w:val="20"/>
              </w:rPr>
              <w:t xml:space="preserve">antitativa. </w:t>
            </w:r>
          </w:p>
          <w:p w:rsidR="005213B4" w:rsidRPr="00AE3FD4" w:rsidRDefault="005213B4" w:rsidP="007E7E40">
            <w:pPr>
              <w:rPr>
                <w:sz w:val="20"/>
                <w:szCs w:val="20"/>
              </w:rPr>
            </w:pPr>
          </w:p>
        </w:tc>
        <w:tc>
          <w:tcPr>
            <w:tcW w:w="2306" w:type="dxa"/>
            <w:tcBorders>
              <w:top w:val="single" w:sz="4" w:space="0" w:color="auto"/>
              <w:left w:val="single" w:sz="4" w:space="0" w:color="auto"/>
              <w:bottom w:val="single" w:sz="4" w:space="0" w:color="auto"/>
              <w:right w:val="single" w:sz="4" w:space="0" w:color="auto"/>
            </w:tcBorders>
            <w:vAlign w:val="center"/>
          </w:tcPr>
          <w:p w:rsidR="00317E53" w:rsidRPr="0011170D" w:rsidRDefault="00317E53" w:rsidP="00D36344">
            <w:pPr>
              <w:jc w:val="center"/>
            </w:pPr>
            <w:r w:rsidRPr="0011170D">
              <w:lastRenderedPageBreak/>
              <w:t>…….</w:t>
            </w:r>
          </w:p>
        </w:tc>
        <w:tc>
          <w:tcPr>
            <w:tcW w:w="1325" w:type="dxa"/>
            <w:tcBorders>
              <w:left w:val="single" w:sz="4" w:space="0" w:color="auto"/>
            </w:tcBorders>
          </w:tcPr>
          <w:p w:rsidR="00317E53" w:rsidRPr="0011170D" w:rsidRDefault="00317E53" w:rsidP="00884766"/>
        </w:tc>
      </w:tr>
      <w:tr w:rsidR="006E3E14" w:rsidRPr="0011170D" w:rsidTr="006E3E14">
        <w:tc>
          <w:tcPr>
            <w:tcW w:w="1168" w:type="dxa"/>
            <w:vAlign w:val="center"/>
          </w:tcPr>
          <w:p w:rsidR="006E3E14" w:rsidRDefault="006E3E14" w:rsidP="00884766">
            <w:pPr>
              <w:rPr>
                <w:b/>
              </w:rPr>
            </w:pPr>
          </w:p>
        </w:tc>
        <w:tc>
          <w:tcPr>
            <w:tcW w:w="5490" w:type="dxa"/>
            <w:tcBorders>
              <w:top w:val="single" w:sz="4" w:space="0" w:color="auto"/>
            </w:tcBorders>
            <w:vAlign w:val="center"/>
          </w:tcPr>
          <w:p w:rsidR="007E7E40" w:rsidRDefault="007E7E40" w:rsidP="007E7E40">
            <w:pPr>
              <w:rPr>
                <w:sz w:val="20"/>
                <w:szCs w:val="20"/>
              </w:rPr>
            </w:pPr>
            <w:r w:rsidRPr="00F47832">
              <w:rPr>
                <w:b/>
                <w:i/>
                <w:sz w:val="20"/>
                <w:szCs w:val="20"/>
              </w:rPr>
              <w:t>Ambalare:</w:t>
            </w:r>
            <w:r w:rsidRPr="00D77B45">
              <w:rPr>
                <w:sz w:val="20"/>
                <w:szCs w:val="20"/>
              </w:rPr>
              <w:t xml:space="preserve"> Ratia individuala d</w:t>
            </w:r>
            <w:r>
              <w:rPr>
                <w:sz w:val="20"/>
                <w:szCs w:val="20"/>
              </w:rPr>
              <w:t>e lupta va fi</w:t>
            </w:r>
            <w:r w:rsidRPr="00D77B45">
              <w:rPr>
                <w:sz w:val="20"/>
                <w:szCs w:val="20"/>
              </w:rPr>
              <w:t xml:space="preserve"> impachetata </w:t>
            </w:r>
            <w:r>
              <w:rPr>
                <w:sz w:val="20"/>
                <w:szCs w:val="20"/>
              </w:rPr>
              <w:t xml:space="preserve">unitar </w:t>
            </w:r>
            <w:r w:rsidRPr="00D77B45">
              <w:rPr>
                <w:sz w:val="20"/>
                <w:szCs w:val="20"/>
              </w:rPr>
              <w:t>intr-un ambalaj rezistent, opac, termosudat, confectionat dintr-un material a carui grosime asigura protectia, stabilitatea si valabilitatea elementelor componente in conditiilor mediului operational, al lantului de aprovizionare si depozitare</w:t>
            </w:r>
            <w:r>
              <w:rPr>
                <w:sz w:val="20"/>
                <w:szCs w:val="20"/>
              </w:rPr>
              <w:t>.</w:t>
            </w:r>
            <w:r w:rsidRPr="00D77B45">
              <w:rPr>
                <w:sz w:val="20"/>
                <w:szCs w:val="20"/>
              </w:rPr>
              <w:t xml:space="preserve">  </w:t>
            </w:r>
          </w:p>
          <w:p w:rsidR="006E3E14" w:rsidRPr="005213B4" w:rsidRDefault="007E7E40" w:rsidP="007E7E40">
            <w:pPr>
              <w:numPr>
                <w:ilvl w:val="0"/>
                <w:numId w:val="2"/>
              </w:numPr>
              <w:ind w:left="135" w:hanging="142"/>
              <w:rPr>
                <w:b/>
                <w:i/>
                <w:sz w:val="20"/>
                <w:szCs w:val="20"/>
              </w:rPr>
            </w:pPr>
            <w:r w:rsidRPr="00D77B45">
              <w:rPr>
                <w:sz w:val="20"/>
                <w:szCs w:val="20"/>
              </w:rPr>
              <w:t>Ambalajul fin</w:t>
            </w:r>
            <w:r>
              <w:rPr>
                <w:sz w:val="20"/>
                <w:szCs w:val="20"/>
              </w:rPr>
              <w:t>al va</w:t>
            </w:r>
            <w:r w:rsidRPr="00D77B45">
              <w:rPr>
                <w:sz w:val="20"/>
                <w:szCs w:val="20"/>
              </w:rPr>
              <w:t xml:space="preserve"> contine trei pachete cu cele trei mese ambalate individual (mic dejun, pranz, cina). Fiecare pachet va contine componentele alimentare ale fiecarei mese, pachetul cu ,,materiale pentru servirea hranei si colectarea deseurilor’’ si sursa de incalzire, ambalate unitar, in ambalaje termosudate/zip lock, re</w:t>
            </w:r>
            <w:r>
              <w:rPr>
                <w:sz w:val="20"/>
                <w:szCs w:val="20"/>
              </w:rPr>
              <w:t>zistente la apa si imprimate cu</w:t>
            </w:r>
            <w:r w:rsidRPr="00D77B45">
              <w:rPr>
                <w:sz w:val="20"/>
                <w:szCs w:val="20"/>
              </w:rPr>
              <w:t>: denumirea meniului</w:t>
            </w:r>
            <w:r>
              <w:rPr>
                <w:sz w:val="20"/>
                <w:szCs w:val="20"/>
              </w:rPr>
              <w:t xml:space="preserve"> </w:t>
            </w:r>
            <w:r w:rsidRPr="00D77B45">
              <w:rPr>
                <w:sz w:val="20"/>
                <w:szCs w:val="20"/>
              </w:rPr>
              <w:t>(mic dejun, pranz, cina), produsele componente, gramaj, termen de valabilitate, etc</w:t>
            </w:r>
          </w:p>
        </w:tc>
        <w:tc>
          <w:tcPr>
            <w:tcW w:w="2306" w:type="dxa"/>
            <w:tcBorders>
              <w:top w:val="single" w:sz="4" w:space="0" w:color="auto"/>
            </w:tcBorders>
            <w:vAlign w:val="center"/>
          </w:tcPr>
          <w:p w:rsidR="006E3E14" w:rsidRPr="0011170D" w:rsidRDefault="006E3E14" w:rsidP="00D36344">
            <w:pPr>
              <w:jc w:val="center"/>
            </w:pPr>
          </w:p>
        </w:tc>
        <w:tc>
          <w:tcPr>
            <w:tcW w:w="1325" w:type="dxa"/>
          </w:tcPr>
          <w:p w:rsidR="006E3E14" w:rsidRPr="0011170D" w:rsidRDefault="006E3E14" w:rsidP="00884766"/>
        </w:tc>
      </w:tr>
      <w:tr w:rsidR="006E3E14" w:rsidRPr="0011170D" w:rsidTr="00AA69A4">
        <w:tc>
          <w:tcPr>
            <w:tcW w:w="1168" w:type="dxa"/>
            <w:vAlign w:val="center"/>
          </w:tcPr>
          <w:p w:rsidR="006E3E14" w:rsidRDefault="006E3E14" w:rsidP="00884766">
            <w:pPr>
              <w:rPr>
                <w:b/>
              </w:rPr>
            </w:pPr>
          </w:p>
        </w:tc>
        <w:tc>
          <w:tcPr>
            <w:tcW w:w="5490" w:type="dxa"/>
            <w:vAlign w:val="center"/>
          </w:tcPr>
          <w:p w:rsidR="007E7E40" w:rsidRDefault="007E7E40" w:rsidP="007E7E40">
            <w:pPr>
              <w:rPr>
                <w:sz w:val="20"/>
                <w:szCs w:val="20"/>
              </w:rPr>
            </w:pPr>
            <w:r>
              <w:rPr>
                <w:b/>
                <w:i/>
                <w:sz w:val="20"/>
                <w:szCs w:val="20"/>
              </w:rPr>
              <w:t>Etichetarea</w:t>
            </w:r>
            <w:r w:rsidRPr="00F47832">
              <w:rPr>
                <w:b/>
                <w:i/>
                <w:sz w:val="20"/>
                <w:szCs w:val="20"/>
              </w:rPr>
              <w:t>:</w:t>
            </w:r>
            <w:r w:rsidRPr="00D77B45">
              <w:rPr>
                <w:sz w:val="20"/>
                <w:szCs w:val="20"/>
              </w:rPr>
              <w:t xml:space="preserve"> Pe ambalajul final al produsului (</w:t>
            </w:r>
            <w:r>
              <w:rPr>
                <w:sz w:val="20"/>
                <w:szCs w:val="20"/>
              </w:rPr>
              <w:t>ratia individuala de lupta) vor fi</w:t>
            </w:r>
            <w:r w:rsidRPr="00D77B45">
              <w:rPr>
                <w:sz w:val="20"/>
                <w:szCs w:val="20"/>
              </w:rPr>
              <w:t xml:space="preserve"> marca</w:t>
            </w:r>
            <w:r>
              <w:rPr>
                <w:sz w:val="20"/>
                <w:szCs w:val="20"/>
              </w:rPr>
              <w:t>te obligatoriu (eticheta</w:t>
            </w:r>
            <w:r w:rsidRPr="00D77B45">
              <w:rPr>
                <w:sz w:val="20"/>
                <w:szCs w:val="20"/>
              </w:rPr>
              <w:t>) urmato</w:t>
            </w:r>
            <w:r>
              <w:rPr>
                <w:sz w:val="20"/>
                <w:szCs w:val="20"/>
              </w:rPr>
              <w:t>arele elemente de indentificare</w:t>
            </w:r>
            <w:r w:rsidRPr="00D77B45">
              <w:rPr>
                <w:sz w:val="20"/>
                <w:szCs w:val="20"/>
              </w:rPr>
              <w:t xml:space="preserve">: MApN- Comandamentul </w:t>
            </w:r>
            <w:r w:rsidR="00C861F7">
              <w:rPr>
                <w:sz w:val="20"/>
                <w:szCs w:val="20"/>
              </w:rPr>
              <w:t>Forțelor pentru Operații Speciale</w:t>
            </w:r>
            <w:r w:rsidRPr="00D77B45">
              <w:rPr>
                <w:sz w:val="20"/>
                <w:szCs w:val="20"/>
              </w:rPr>
              <w:t>, termenul de valabilitate, data ambalarii si numele furnizorul</w:t>
            </w:r>
            <w:r>
              <w:rPr>
                <w:sz w:val="20"/>
                <w:szCs w:val="20"/>
              </w:rPr>
              <w:t>ui, greutatea neta a produsului;</w:t>
            </w:r>
          </w:p>
          <w:p w:rsidR="007E7E40" w:rsidRDefault="007E7E40" w:rsidP="007E7E40">
            <w:pPr>
              <w:rPr>
                <w:sz w:val="20"/>
                <w:szCs w:val="20"/>
              </w:rPr>
            </w:pPr>
            <w:r w:rsidRPr="00D77B45">
              <w:rPr>
                <w:sz w:val="20"/>
                <w:szCs w:val="20"/>
              </w:rPr>
              <w:t>Pe fiecare ambalaj individual al pachetelor ce</w:t>
            </w:r>
            <w:r>
              <w:rPr>
                <w:sz w:val="20"/>
                <w:szCs w:val="20"/>
              </w:rPr>
              <w:t>lor trei mese (meniuri) vor  fi</w:t>
            </w:r>
            <w:r w:rsidRPr="00D77B45">
              <w:rPr>
                <w:sz w:val="20"/>
                <w:szCs w:val="20"/>
              </w:rPr>
              <w:t xml:space="preserve"> m</w:t>
            </w:r>
            <w:r>
              <w:rPr>
                <w:sz w:val="20"/>
                <w:szCs w:val="20"/>
              </w:rPr>
              <w:t>arcate  obligatoriu  (eticheta)</w:t>
            </w:r>
            <w:r w:rsidRPr="00D77B45">
              <w:rPr>
                <w:sz w:val="20"/>
                <w:szCs w:val="20"/>
              </w:rPr>
              <w:t xml:space="preserve"> urmatoarele elemente de identificare: </w:t>
            </w:r>
          </w:p>
          <w:p w:rsidR="007E7E40" w:rsidRDefault="007E7E40" w:rsidP="007E7E40">
            <w:pPr>
              <w:rPr>
                <w:sz w:val="20"/>
                <w:szCs w:val="20"/>
              </w:rPr>
            </w:pPr>
            <w:r w:rsidRPr="00D77B45">
              <w:rPr>
                <w:sz w:val="20"/>
                <w:szCs w:val="20"/>
              </w:rPr>
              <w:t xml:space="preserve">- denumirea meniului (mic dejun, pranz, cina); </w:t>
            </w:r>
          </w:p>
          <w:p w:rsidR="007E7E40" w:rsidRDefault="007E7E40" w:rsidP="007E7E40">
            <w:pPr>
              <w:rPr>
                <w:sz w:val="20"/>
                <w:szCs w:val="20"/>
              </w:rPr>
            </w:pPr>
            <w:r w:rsidRPr="00D77B45">
              <w:rPr>
                <w:sz w:val="20"/>
                <w:szCs w:val="20"/>
              </w:rPr>
              <w:t xml:space="preserve">- produsele alimentare prevazute in compunerea meniului; </w:t>
            </w:r>
          </w:p>
          <w:p w:rsidR="007E7E40" w:rsidRDefault="007E7E40" w:rsidP="007E7E40">
            <w:pPr>
              <w:rPr>
                <w:sz w:val="20"/>
                <w:szCs w:val="20"/>
              </w:rPr>
            </w:pPr>
            <w:r w:rsidRPr="00D77B45">
              <w:rPr>
                <w:sz w:val="20"/>
                <w:szCs w:val="20"/>
              </w:rPr>
              <w:t xml:space="preserve">- greutatea neta a fiecarui produs alimentar; </w:t>
            </w:r>
          </w:p>
          <w:p w:rsidR="007E7E40" w:rsidRDefault="007E7E40" w:rsidP="007E7E40">
            <w:pPr>
              <w:rPr>
                <w:sz w:val="20"/>
                <w:szCs w:val="20"/>
              </w:rPr>
            </w:pPr>
            <w:r w:rsidRPr="00D77B45">
              <w:rPr>
                <w:sz w:val="20"/>
                <w:szCs w:val="20"/>
              </w:rPr>
              <w:t xml:space="preserve">- materialele pentru servirea hranei si colectarea deseurilor; </w:t>
            </w:r>
          </w:p>
          <w:p w:rsidR="007E7E40" w:rsidRDefault="007E7E40" w:rsidP="007E7E40">
            <w:pPr>
              <w:rPr>
                <w:sz w:val="20"/>
                <w:szCs w:val="20"/>
              </w:rPr>
            </w:pPr>
            <w:r w:rsidRPr="00D77B45">
              <w:rPr>
                <w:sz w:val="20"/>
                <w:szCs w:val="20"/>
              </w:rPr>
              <w:t xml:space="preserve">- sursa de incalzire; </w:t>
            </w:r>
          </w:p>
          <w:p w:rsidR="007E7E40" w:rsidRDefault="007E7E40" w:rsidP="007E7E40">
            <w:pPr>
              <w:rPr>
                <w:sz w:val="20"/>
                <w:szCs w:val="20"/>
              </w:rPr>
            </w:pPr>
            <w:r w:rsidRPr="00D77B45">
              <w:rPr>
                <w:sz w:val="20"/>
                <w:szCs w:val="20"/>
              </w:rPr>
              <w:t xml:space="preserve">Fiecare produs alimentar din compunerea ratiei individuale de lupta, se marcheaza in conformitate cu legislatia in vigoare (H.G. 106/2002 privind etichetarea produselor alimentare publicata in Monitorul Oficial partea I nr. 147/2002 cu completarile si modificarile ulterioare), cu minim urmatoarele mentiuni: </w:t>
            </w:r>
          </w:p>
          <w:p w:rsidR="007E7E40" w:rsidRDefault="007E7E40" w:rsidP="007E7E40">
            <w:pPr>
              <w:rPr>
                <w:sz w:val="20"/>
                <w:szCs w:val="20"/>
              </w:rPr>
            </w:pPr>
            <w:r w:rsidRPr="00D77B45">
              <w:rPr>
                <w:sz w:val="20"/>
                <w:szCs w:val="20"/>
              </w:rPr>
              <w:t xml:space="preserve">- denumirea comerciala a produsului </w:t>
            </w:r>
          </w:p>
          <w:p w:rsidR="007E7E40" w:rsidRDefault="007E7E40" w:rsidP="007E7E40">
            <w:pPr>
              <w:rPr>
                <w:sz w:val="20"/>
                <w:szCs w:val="20"/>
              </w:rPr>
            </w:pPr>
            <w:r w:rsidRPr="00D77B45">
              <w:rPr>
                <w:sz w:val="20"/>
                <w:szCs w:val="20"/>
              </w:rPr>
              <w:t>- date de indentificare ale producatorului sau al distribuitorului inregistrat in Uniunea Europeana (nume, adresa, sediu, telefon, email). Pentru produsele provenite din tari din afara Uniunii Europene  vom inscrie datele de indentificare ale importatorului sau ale distribuit</w:t>
            </w:r>
            <w:r>
              <w:rPr>
                <w:sz w:val="20"/>
                <w:szCs w:val="20"/>
              </w:rPr>
              <w:t xml:space="preserve">orului inregistrat in Romania. </w:t>
            </w:r>
          </w:p>
          <w:p w:rsidR="007E7E40" w:rsidRDefault="007E7E40" w:rsidP="007E7E40">
            <w:pPr>
              <w:rPr>
                <w:sz w:val="20"/>
                <w:szCs w:val="20"/>
              </w:rPr>
            </w:pPr>
            <w:r w:rsidRPr="00D77B45">
              <w:rPr>
                <w:sz w:val="20"/>
                <w:szCs w:val="20"/>
              </w:rPr>
              <w:t>-</w:t>
            </w:r>
            <w:r>
              <w:rPr>
                <w:sz w:val="20"/>
                <w:szCs w:val="20"/>
              </w:rPr>
              <w:t xml:space="preserve"> </w:t>
            </w:r>
            <w:r w:rsidRPr="00D77B45">
              <w:rPr>
                <w:sz w:val="20"/>
                <w:szCs w:val="20"/>
              </w:rPr>
              <w:t xml:space="preserve">lista cuprinzand ingredientele </w:t>
            </w:r>
          </w:p>
          <w:p w:rsidR="007E7E40" w:rsidRDefault="007E7E40" w:rsidP="007E7E40">
            <w:pPr>
              <w:rPr>
                <w:sz w:val="20"/>
                <w:szCs w:val="20"/>
              </w:rPr>
            </w:pPr>
            <w:r w:rsidRPr="00D77B45">
              <w:rPr>
                <w:sz w:val="20"/>
                <w:szCs w:val="20"/>
              </w:rPr>
              <w:t xml:space="preserve">- data fabricatiei (ziua,luna, anul) </w:t>
            </w:r>
          </w:p>
          <w:p w:rsidR="007E7E40" w:rsidRDefault="007E7E40" w:rsidP="007E7E40">
            <w:pPr>
              <w:rPr>
                <w:sz w:val="20"/>
                <w:szCs w:val="20"/>
              </w:rPr>
            </w:pPr>
            <w:r w:rsidRPr="00D77B45">
              <w:rPr>
                <w:sz w:val="20"/>
                <w:szCs w:val="20"/>
              </w:rPr>
              <w:t xml:space="preserve">- data limita pana la care poate fi consumat produsul </w:t>
            </w:r>
          </w:p>
          <w:p w:rsidR="007E7E40" w:rsidRDefault="007E7E40" w:rsidP="007E7E40">
            <w:pPr>
              <w:rPr>
                <w:sz w:val="20"/>
                <w:szCs w:val="20"/>
              </w:rPr>
            </w:pPr>
            <w:r w:rsidRPr="00D77B45">
              <w:rPr>
                <w:sz w:val="20"/>
                <w:szCs w:val="20"/>
              </w:rPr>
              <w:t xml:space="preserve">- greutatea neta </w:t>
            </w:r>
          </w:p>
          <w:p w:rsidR="007E7E40" w:rsidRDefault="007E7E40" w:rsidP="007E7E40">
            <w:pPr>
              <w:rPr>
                <w:sz w:val="20"/>
                <w:szCs w:val="20"/>
              </w:rPr>
            </w:pPr>
            <w:r w:rsidRPr="00D77B45">
              <w:rPr>
                <w:sz w:val="20"/>
                <w:szCs w:val="20"/>
              </w:rPr>
              <w:t xml:space="preserve">- valoare nutritionala </w:t>
            </w:r>
          </w:p>
          <w:p w:rsidR="007E7E40" w:rsidRDefault="007E7E40" w:rsidP="007E7E40">
            <w:pPr>
              <w:rPr>
                <w:sz w:val="20"/>
                <w:szCs w:val="20"/>
              </w:rPr>
            </w:pPr>
            <w:r w:rsidRPr="00D77B45">
              <w:rPr>
                <w:sz w:val="20"/>
                <w:szCs w:val="20"/>
              </w:rPr>
              <w:t>- date/ informatii care sa permita indentificarea lotului</w:t>
            </w:r>
          </w:p>
          <w:p w:rsidR="007E7E40" w:rsidRDefault="007E7E40" w:rsidP="007E7E40">
            <w:pPr>
              <w:rPr>
                <w:sz w:val="20"/>
                <w:szCs w:val="20"/>
              </w:rPr>
            </w:pPr>
            <w:r w:rsidRPr="00F47832">
              <w:rPr>
                <w:sz w:val="20"/>
                <w:szCs w:val="20"/>
              </w:rPr>
              <w:t>Componentele nealimentare</w:t>
            </w:r>
            <w:r>
              <w:rPr>
                <w:sz w:val="20"/>
                <w:szCs w:val="20"/>
              </w:rPr>
              <w:t xml:space="preserve"> (sursa de incalzire</w:t>
            </w:r>
            <w:r w:rsidRPr="00D77B45">
              <w:rPr>
                <w:sz w:val="20"/>
                <w:szCs w:val="20"/>
              </w:rPr>
              <w:t xml:space="preserve">) vor fi etichetate in mod vizibil cu atentionari privitoare la siguranta si instructiuni clare de utilizare. </w:t>
            </w:r>
          </w:p>
          <w:p w:rsidR="006E3E14" w:rsidRPr="005213B4" w:rsidRDefault="006E3E14" w:rsidP="00AE3FD4">
            <w:pPr>
              <w:numPr>
                <w:ilvl w:val="0"/>
                <w:numId w:val="2"/>
              </w:numPr>
              <w:ind w:left="135" w:hanging="142"/>
              <w:rPr>
                <w:b/>
                <w:i/>
                <w:sz w:val="20"/>
                <w:szCs w:val="20"/>
              </w:rPr>
            </w:pPr>
          </w:p>
        </w:tc>
        <w:tc>
          <w:tcPr>
            <w:tcW w:w="2306" w:type="dxa"/>
            <w:vAlign w:val="center"/>
          </w:tcPr>
          <w:p w:rsidR="006E3E14" w:rsidRPr="0011170D" w:rsidRDefault="006E3E14" w:rsidP="00D36344">
            <w:pPr>
              <w:jc w:val="center"/>
            </w:pPr>
          </w:p>
        </w:tc>
        <w:tc>
          <w:tcPr>
            <w:tcW w:w="1325" w:type="dxa"/>
          </w:tcPr>
          <w:p w:rsidR="006E3E14" w:rsidRPr="0011170D" w:rsidRDefault="006E3E14" w:rsidP="00884766"/>
        </w:tc>
      </w:tr>
      <w:tr w:rsidR="00884766" w:rsidRPr="0011170D" w:rsidTr="00636B56">
        <w:trPr>
          <w:cantSplit/>
          <w:trHeight w:hRule="exact" w:val="1133"/>
        </w:trPr>
        <w:tc>
          <w:tcPr>
            <w:tcW w:w="1168" w:type="dxa"/>
            <w:vAlign w:val="center"/>
          </w:tcPr>
          <w:p w:rsidR="00317E53" w:rsidRPr="0011170D" w:rsidRDefault="00317E53" w:rsidP="00884766">
            <w:pPr>
              <w:rPr>
                <w:b/>
              </w:rPr>
            </w:pPr>
          </w:p>
        </w:tc>
        <w:tc>
          <w:tcPr>
            <w:tcW w:w="5490" w:type="dxa"/>
            <w:vAlign w:val="center"/>
          </w:tcPr>
          <w:p w:rsidR="00317E53" w:rsidRDefault="00317E53" w:rsidP="00AE3FD4">
            <w:pPr>
              <w:numPr>
                <w:ilvl w:val="0"/>
                <w:numId w:val="2"/>
              </w:numPr>
              <w:ind w:left="135" w:hanging="142"/>
              <w:rPr>
                <w:iCs/>
                <w:sz w:val="20"/>
                <w:szCs w:val="20"/>
              </w:rPr>
            </w:pPr>
            <w:r w:rsidRPr="00AE3FD4">
              <w:rPr>
                <w:iCs/>
                <w:sz w:val="20"/>
                <w:szCs w:val="20"/>
              </w:rPr>
              <w:t>Atribuțiile și responsabilitățile părților</w:t>
            </w:r>
          </w:p>
          <w:p w:rsidR="008E38EE" w:rsidRPr="008E38EE" w:rsidRDefault="008E38EE" w:rsidP="008E38EE">
            <w:pPr>
              <w:ind w:left="-7"/>
              <w:rPr>
                <w:i/>
                <w:iCs/>
                <w:sz w:val="20"/>
                <w:szCs w:val="20"/>
                <w:u w:val="single"/>
              </w:rPr>
            </w:pPr>
            <w:r>
              <w:rPr>
                <w:i/>
                <w:iCs/>
                <w:sz w:val="20"/>
                <w:szCs w:val="20"/>
                <w:u w:val="single"/>
              </w:rPr>
              <w:t>(</w:t>
            </w:r>
            <w:r w:rsidRPr="008E38EE">
              <w:rPr>
                <w:i/>
                <w:iCs/>
                <w:sz w:val="20"/>
                <w:szCs w:val="20"/>
                <w:u w:val="single"/>
              </w:rPr>
              <w:t>Ofertantul își va asuma riscurile privind îndeplinirea contractului, măsurile de gesionare a riscurilor, atribuții și responsabilități</w:t>
            </w:r>
            <w:r>
              <w:rPr>
                <w:i/>
                <w:iCs/>
                <w:sz w:val="20"/>
                <w:szCs w:val="20"/>
                <w:u w:val="single"/>
              </w:rPr>
              <w:t xml:space="preserve"> )</w:t>
            </w:r>
          </w:p>
        </w:tc>
        <w:tc>
          <w:tcPr>
            <w:tcW w:w="2306" w:type="dxa"/>
            <w:vAlign w:val="center"/>
          </w:tcPr>
          <w:p w:rsidR="00317E53" w:rsidRPr="0011170D" w:rsidRDefault="00317E53" w:rsidP="00D36344">
            <w:pPr>
              <w:jc w:val="center"/>
            </w:pPr>
            <w:r w:rsidRPr="0011170D">
              <w:t>…….</w:t>
            </w:r>
          </w:p>
        </w:tc>
        <w:tc>
          <w:tcPr>
            <w:tcW w:w="1325" w:type="dxa"/>
          </w:tcPr>
          <w:p w:rsidR="00317E53" w:rsidRPr="0011170D" w:rsidRDefault="00317E53" w:rsidP="00884766"/>
        </w:tc>
      </w:tr>
      <w:tr w:rsidR="00884766" w:rsidRPr="0011170D" w:rsidTr="007E7E40">
        <w:trPr>
          <w:cantSplit/>
          <w:trHeight w:hRule="exact" w:val="3543"/>
        </w:trPr>
        <w:tc>
          <w:tcPr>
            <w:tcW w:w="1168" w:type="dxa"/>
            <w:vAlign w:val="center"/>
          </w:tcPr>
          <w:p w:rsidR="00317E53" w:rsidRPr="0011170D" w:rsidRDefault="00317E53" w:rsidP="00884766">
            <w:pPr>
              <w:rPr>
                <w:b/>
              </w:rPr>
            </w:pPr>
          </w:p>
        </w:tc>
        <w:tc>
          <w:tcPr>
            <w:tcW w:w="5490" w:type="dxa"/>
            <w:vAlign w:val="center"/>
          </w:tcPr>
          <w:p w:rsidR="008E38EE" w:rsidRPr="007E7E40" w:rsidRDefault="00317E53" w:rsidP="008E38EE">
            <w:pPr>
              <w:numPr>
                <w:ilvl w:val="0"/>
                <w:numId w:val="2"/>
              </w:numPr>
              <w:tabs>
                <w:tab w:val="left" w:pos="116"/>
              </w:tabs>
              <w:ind w:left="0" w:hanging="7"/>
              <w:rPr>
                <w:iCs/>
                <w:sz w:val="20"/>
                <w:szCs w:val="20"/>
              </w:rPr>
            </w:pPr>
            <w:r w:rsidRPr="00AE3FD4">
              <w:rPr>
                <w:iCs/>
                <w:sz w:val="20"/>
                <w:szCs w:val="20"/>
              </w:rPr>
              <w:t>Documentații c</w:t>
            </w:r>
            <w:r w:rsidR="007E7E40">
              <w:rPr>
                <w:iCs/>
                <w:sz w:val="20"/>
                <w:szCs w:val="20"/>
              </w:rPr>
              <w:t>e trebuie furnizate autorității contractante în legătură cu produsul</w:t>
            </w:r>
          </w:p>
          <w:p w:rsidR="008E38EE" w:rsidRDefault="008E38EE" w:rsidP="008E38EE">
            <w:pPr>
              <w:rPr>
                <w:sz w:val="20"/>
                <w:szCs w:val="20"/>
              </w:rPr>
            </w:pPr>
            <w:r>
              <w:rPr>
                <w:sz w:val="20"/>
                <w:szCs w:val="20"/>
              </w:rPr>
              <w:t>Produsele care vor fi</w:t>
            </w:r>
            <w:r w:rsidRPr="00D77B45">
              <w:rPr>
                <w:sz w:val="20"/>
                <w:szCs w:val="20"/>
              </w:rPr>
              <w:t xml:space="preserve"> livra</w:t>
            </w:r>
            <w:r>
              <w:rPr>
                <w:sz w:val="20"/>
                <w:szCs w:val="20"/>
              </w:rPr>
              <w:t>te</w:t>
            </w:r>
            <w:r w:rsidRPr="00D77B45">
              <w:rPr>
                <w:sz w:val="20"/>
                <w:szCs w:val="20"/>
              </w:rPr>
              <w:t xml:space="preserve"> la s</w:t>
            </w:r>
            <w:r>
              <w:rPr>
                <w:sz w:val="20"/>
                <w:szCs w:val="20"/>
              </w:rPr>
              <w:t xml:space="preserve">ediul unitatii militare vor fi însoțite de </w:t>
            </w:r>
            <w:r w:rsidRPr="00D77B45">
              <w:rPr>
                <w:sz w:val="20"/>
                <w:szCs w:val="20"/>
              </w:rPr>
              <w:t xml:space="preserve"> urmatoarele documente: </w:t>
            </w:r>
          </w:p>
          <w:p w:rsidR="008E38EE" w:rsidRDefault="008E38EE" w:rsidP="008E38EE">
            <w:pPr>
              <w:rPr>
                <w:sz w:val="20"/>
                <w:szCs w:val="20"/>
              </w:rPr>
            </w:pPr>
            <w:r w:rsidRPr="00D77B45">
              <w:rPr>
                <w:sz w:val="20"/>
                <w:szCs w:val="20"/>
              </w:rPr>
              <w:t>-</w:t>
            </w:r>
            <w:r>
              <w:rPr>
                <w:sz w:val="20"/>
                <w:szCs w:val="20"/>
              </w:rPr>
              <w:t xml:space="preserve"> </w:t>
            </w:r>
            <w:r w:rsidRPr="00D77B45">
              <w:rPr>
                <w:sz w:val="20"/>
                <w:szCs w:val="20"/>
              </w:rPr>
              <w:t xml:space="preserve">avizul de insotire al marfii </w:t>
            </w:r>
            <w:r w:rsidR="007E7E40">
              <w:rPr>
                <w:sz w:val="20"/>
                <w:szCs w:val="20"/>
              </w:rPr>
              <w:t>(formular fiscal)</w:t>
            </w:r>
          </w:p>
          <w:p w:rsidR="008E38EE" w:rsidRDefault="008E38EE" w:rsidP="008E38EE">
            <w:pPr>
              <w:rPr>
                <w:sz w:val="20"/>
                <w:szCs w:val="20"/>
              </w:rPr>
            </w:pPr>
            <w:r w:rsidRPr="00D77B45">
              <w:rPr>
                <w:sz w:val="20"/>
                <w:szCs w:val="20"/>
              </w:rPr>
              <w:t xml:space="preserve">-factura fiscala –in copie </w:t>
            </w:r>
          </w:p>
          <w:p w:rsidR="008E38EE" w:rsidRDefault="008E38EE" w:rsidP="008E38EE">
            <w:pPr>
              <w:rPr>
                <w:sz w:val="20"/>
                <w:szCs w:val="20"/>
              </w:rPr>
            </w:pPr>
            <w:r w:rsidRPr="00D77B45">
              <w:rPr>
                <w:sz w:val="20"/>
                <w:szCs w:val="20"/>
              </w:rPr>
              <w:t xml:space="preserve">-certificat de calitate-in copie </w:t>
            </w:r>
          </w:p>
          <w:p w:rsidR="002205A4" w:rsidRDefault="002205A4" w:rsidP="008E38EE">
            <w:pPr>
              <w:rPr>
                <w:sz w:val="20"/>
                <w:szCs w:val="20"/>
              </w:rPr>
            </w:pPr>
            <w:r>
              <w:rPr>
                <w:sz w:val="20"/>
                <w:szCs w:val="20"/>
              </w:rPr>
              <w:t>- fișa tehnică a produsului întocmită de producător;</w:t>
            </w:r>
          </w:p>
          <w:p w:rsidR="008E38EE" w:rsidRDefault="008E38EE" w:rsidP="008E38EE">
            <w:pPr>
              <w:rPr>
                <w:sz w:val="20"/>
                <w:szCs w:val="20"/>
              </w:rPr>
            </w:pPr>
            <w:r w:rsidRPr="00D77B45">
              <w:rPr>
                <w:sz w:val="20"/>
                <w:szCs w:val="20"/>
              </w:rPr>
              <w:t>-buletine de analize cu parametri organoleptici, fizico-chimici si microbiologici  pentru fiecare produs alimentar din compunerea r</w:t>
            </w:r>
            <w:r>
              <w:rPr>
                <w:sz w:val="20"/>
                <w:szCs w:val="20"/>
              </w:rPr>
              <w:t>atiei de lupta emise de catre la</w:t>
            </w:r>
            <w:r w:rsidRPr="00D77B45">
              <w:rPr>
                <w:sz w:val="20"/>
                <w:szCs w:val="20"/>
              </w:rPr>
              <w:t xml:space="preserve">borator acreditat; </w:t>
            </w:r>
          </w:p>
          <w:p w:rsidR="008E38EE" w:rsidRPr="00AE3FD4" w:rsidRDefault="008E38EE" w:rsidP="008E38EE">
            <w:pPr>
              <w:ind w:left="-1"/>
              <w:rPr>
                <w:iCs/>
                <w:sz w:val="20"/>
                <w:szCs w:val="20"/>
              </w:rPr>
            </w:pPr>
            <w:r w:rsidRPr="00D77B45">
              <w:rPr>
                <w:sz w:val="20"/>
                <w:szCs w:val="20"/>
              </w:rPr>
              <w:t>- document justificativ privind depozitarea produselor in mediu controlat la temperaturi ≤25</w:t>
            </w:r>
            <w:r w:rsidRPr="00D77B45">
              <w:rPr>
                <w:rFonts w:ascii="Cambria Math" w:hAnsi="Cambria Math" w:cs="Cambria Math"/>
                <w:sz w:val="20"/>
                <w:szCs w:val="20"/>
              </w:rPr>
              <w:t>℃</w:t>
            </w:r>
            <w:r>
              <w:rPr>
                <w:rFonts w:ascii="Cambria Math" w:hAnsi="Cambria Math" w:cs="Cambria Math"/>
                <w:sz w:val="20"/>
                <w:szCs w:val="20"/>
              </w:rPr>
              <w:t xml:space="preserve"> </w:t>
            </w:r>
            <w:r w:rsidRPr="00D77B45">
              <w:rPr>
                <w:sz w:val="20"/>
                <w:szCs w:val="20"/>
              </w:rPr>
              <w:t>(diagrama temperaturilor zilnice inregistrate la depozitarea produselor in mediu controlat) pentru perioada cuprinsa intre data fabricatiei si data livrari</w:t>
            </w:r>
            <w:r>
              <w:rPr>
                <w:sz w:val="20"/>
                <w:szCs w:val="20"/>
              </w:rPr>
              <w:t>.</w:t>
            </w:r>
          </w:p>
        </w:tc>
        <w:tc>
          <w:tcPr>
            <w:tcW w:w="2306" w:type="dxa"/>
            <w:vAlign w:val="center"/>
          </w:tcPr>
          <w:p w:rsidR="00317E53" w:rsidRPr="0011170D" w:rsidRDefault="00317E53" w:rsidP="00D36344">
            <w:pPr>
              <w:jc w:val="center"/>
            </w:pPr>
            <w:r w:rsidRPr="0011170D">
              <w:t>…….</w:t>
            </w:r>
          </w:p>
        </w:tc>
        <w:tc>
          <w:tcPr>
            <w:tcW w:w="1325" w:type="dxa"/>
          </w:tcPr>
          <w:p w:rsidR="00317E53" w:rsidRPr="0011170D" w:rsidRDefault="00317E53" w:rsidP="00884766"/>
        </w:tc>
      </w:tr>
      <w:tr w:rsidR="00884766" w:rsidRPr="0011170D" w:rsidTr="00636B56">
        <w:trPr>
          <w:cantSplit/>
          <w:trHeight w:hRule="exact" w:val="6792"/>
        </w:trPr>
        <w:tc>
          <w:tcPr>
            <w:tcW w:w="1168" w:type="dxa"/>
            <w:vAlign w:val="center"/>
          </w:tcPr>
          <w:p w:rsidR="00317E53" w:rsidRPr="0011170D" w:rsidRDefault="00317E53" w:rsidP="00884766">
            <w:pPr>
              <w:rPr>
                <w:b/>
              </w:rPr>
            </w:pPr>
          </w:p>
        </w:tc>
        <w:tc>
          <w:tcPr>
            <w:tcW w:w="5490" w:type="dxa"/>
            <w:vAlign w:val="center"/>
          </w:tcPr>
          <w:p w:rsidR="002205A4" w:rsidRPr="007E7E40" w:rsidRDefault="002205A4" w:rsidP="002205A4">
            <w:pPr>
              <w:rPr>
                <w:b/>
                <w:i/>
                <w:iCs/>
                <w:sz w:val="20"/>
                <w:szCs w:val="20"/>
              </w:rPr>
            </w:pPr>
            <w:r w:rsidRPr="007E7E40">
              <w:rPr>
                <w:b/>
                <w:i/>
                <w:iCs/>
                <w:sz w:val="20"/>
                <w:szCs w:val="20"/>
              </w:rPr>
              <w:t>Recepția produselor</w:t>
            </w:r>
          </w:p>
          <w:p w:rsidR="002205A4" w:rsidRDefault="002205A4" w:rsidP="002205A4">
            <w:pPr>
              <w:rPr>
                <w:sz w:val="20"/>
                <w:szCs w:val="20"/>
              </w:rPr>
            </w:pPr>
            <w:r w:rsidRPr="007E7E40">
              <w:rPr>
                <w:b/>
                <w:sz w:val="20"/>
                <w:szCs w:val="20"/>
              </w:rPr>
              <w:t>Recepția calitativă</w:t>
            </w:r>
            <w:r>
              <w:rPr>
                <w:sz w:val="20"/>
                <w:szCs w:val="20"/>
              </w:rPr>
              <w:t xml:space="preserve"> se va efectua de către reprezentanții U.M. 0</w:t>
            </w:r>
            <w:r w:rsidR="00C861F7">
              <w:rPr>
                <w:sz w:val="20"/>
                <w:szCs w:val="20"/>
              </w:rPr>
              <w:t>1016</w:t>
            </w:r>
            <w:r>
              <w:rPr>
                <w:sz w:val="20"/>
                <w:szCs w:val="20"/>
              </w:rPr>
              <w:t xml:space="preserve"> </w:t>
            </w:r>
            <w:r w:rsidR="00C861F7">
              <w:rPr>
                <w:sz w:val="20"/>
                <w:szCs w:val="20"/>
              </w:rPr>
              <w:t>Tg. Mureș</w:t>
            </w:r>
            <w:r>
              <w:rPr>
                <w:sz w:val="20"/>
                <w:szCs w:val="20"/>
              </w:rPr>
              <w:t xml:space="preserve"> </w:t>
            </w:r>
            <w:r w:rsidRPr="002205A4">
              <w:rPr>
                <w:i/>
                <w:sz w:val="20"/>
                <w:szCs w:val="20"/>
              </w:rPr>
              <w:t>la sediul unității militare primitoare</w:t>
            </w:r>
            <w:r>
              <w:rPr>
                <w:sz w:val="20"/>
                <w:szCs w:val="20"/>
              </w:rPr>
              <w:t xml:space="preserve">, în zilele lucrătoare, în timpul orelor de program ale unității militare primitoare, în prezența delegaților primitorului și furnizorului. </w:t>
            </w:r>
          </w:p>
          <w:p w:rsidR="002205A4" w:rsidRDefault="002205A4" w:rsidP="002205A4">
            <w:pPr>
              <w:rPr>
                <w:sz w:val="20"/>
                <w:szCs w:val="20"/>
              </w:rPr>
            </w:pPr>
            <w:r>
              <w:rPr>
                <w:sz w:val="20"/>
                <w:szCs w:val="20"/>
              </w:rPr>
              <w:t>Recepția calitativă constă în verificarea obligatorie a documentelor care însoțesc produsul  și conformitatea cu oferta tehnică și se va finaliza prin întocmirea unui proces verbal de recepție calitativă emis în 4 exemplare, din care va reieși obligatoriu, unul din următoarele rezultate:</w:t>
            </w:r>
          </w:p>
          <w:p w:rsidR="002205A4" w:rsidRDefault="002205A4" w:rsidP="002205A4">
            <w:pPr>
              <w:pStyle w:val="ListParagraph"/>
              <w:numPr>
                <w:ilvl w:val="0"/>
                <w:numId w:val="3"/>
              </w:numPr>
              <w:spacing w:after="0" w:line="240" w:lineRule="auto"/>
              <w:jc w:val="both"/>
              <w:rPr>
                <w:rFonts w:ascii="Times New Roman" w:hAnsi="Times New Roman"/>
                <w:sz w:val="20"/>
                <w:szCs w:val="20"/>
              </w:rPr>
            </w:pPr>
            <w:r>
              <w:rPr>
                <w:rFonts w:ascii="Times New Roman" w:hAnsi="Times New Roman"/>
                <w:sz w:val="20"/>
                <w:szCs w:val="20"/>
              </w:rPr>
              <w:t>Acceptat</w:t>
            </w:r>
          </w:p>
          <w:p w:rsidR="002205A4" w:rsidRDefault="002205A4" w:rsidP="002205A4">
            <w:pPr>
              <w:pStyle w:val="ListParagraph"/>
              <w:numPr>
                <w:ilvl w:val="0"/>
                <w:numId w:val="3"/>
              </w:numPr>
              <w:spacing w:after="0" w:line="240" w:lineRule="auto"/>
              <w:jc w:val="both"/>
              <w:rPr>
                <w:rFonts w:ascii="Times New Roman" w:hAnsi="Times New Roman"/>
                <w:sz w:val="20"/>
                <w:szCs w:val="20"/>
              </w:rPr>
            </w:pPr>
            <w:r>
              <w:rPr>
                <w:rFonts w:ascii="Times New Roman" w:hAnsi="Times New Roman"/>
                <w:sz w:val="20"/>
                <w:szCs w:val="20"/>
              </w:rPr>
              <w:t>Refuzat</w:t>
            </w:r>
          </w:p>
          <w:p w:rsidR="002205A4" w:rsidRDefault="002205A4" w:rsidP="002205A4">
            <w:pPr>
              <w:rPr>
                <w:sz w:val="20"/>
                <w:szCs w:val="20"/>
              </w:rPr>
            </w:pPr>
            <w:r>
              <w:rPr>
                <w:sz w:val="20"/>
                <w:szCs w:val="20"/>
              </w:rPr>
              <w:t>Procesul verbal de recepție calitativă va avea următoarea destinație:</w:t>
            </w:r>
          </w:p>
          <w:p w:rsidR="002205A4" w:rsidRDefault="002205A4" w:rsidP="002205A4">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Exemplarul nr. 1 – autoritatea contractantă (însoțește factura</w:t>
            </w:r>
            <w:r w:rsidRPr="000D3919">
              <w:rPr>
                <w:rFonts w:ascii="Times New Roman" w:hAnsi="Times New Roman"/>
                <w:sz w:val="20"/>
                <w:szCs w:val="20"/>
              </w:rPr>
              <w:t>)</w:t>
            </w:r>
            <w:r>
              <w:rPr>
                <w:rFonts w:ascii="Times New Roman" w:hAnsi="Times New Roman"/>
                <w:sz w:val="20"/>
                <w:szCs w:val="20"/>
              </w:rPr>
              <w:t>;</w:t>
            </w:r>
          </w:p>
          <w:p w:rsidR="002205A4" w:rsidRDefault="002205A4" w:rsidP="002205A4">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Exemplarul nr. 2 – la beneficiar (unitatea militară unde se efectuează livrarea);</w:t>
            </w:r>
          </w:p>
          <w:p w:rsidR="002205A4" w:rsidRDefault="002205A4" w:rsidP="002205A4">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Exemplarul nr. 3 – la contractant;</w:t>
            </w:r>
          </w:p>
          <w:p w:rsidR="002205A4" w:rsidRPr="000D3919" w:rsidRDefault="002205A4" w:rsidP="002205A4">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Exemplarul nr. 4 – la U.M. </w:t>
            </w:r>
            <w:r w:rsidR="00C861F7">
              <w:rPr>
                <w:rFonts w:ascii="Times New Roman" w:hAnsi="Times New Roman"/>
                <w:sz w:val="20"/>
                <w:szCs w:val="20"/>
              </w:rPr>
              <w:t>01016 Tg. Mureș</w:t>
            </w:r>
            <w:r>
              <w:rPr>
                <w:rFonts w:ascii="Times New Roman" w:hAnsi="Times New Roman"/>
                <w:sz w:val="20"/>
                <w:szCs w:val="20"/>
              </w:rPr>
              <w:t>.</w:t>
            </w:r>
          </w:p>
          <w:p w:rsidR="002205A4" w:rsidRDefault="002205A4" w:rsidP="002205A4">
            <w:pPr>
              <w:rPr>
                <w:sz w:val="20"/>
                <w:szCs w:val="20"/>
              </w:rPr>
            </w:pPr>
            <w:r>
              <w:rPr>
                <w:sz w:val="20"/>
                <w:szCs w:val="20"/>
              </w:rPr>
              <w:t xml:space="preserve">Furnizorul va notifica oficial autoritatea contractantă și unitatea militară primitoare, cu cel puțin 2 zile înainte de livrare, data efectuării recepției calitative. </w:t>
            </w:r>
            <w:r w:rsidRPr="00D77B45">
              <w:rPr>
                <w:sz w:val="20"/>
                <w:szCs w:val="20"/>
              </w:rPr>
              <w:t>Receptia in afara orelor de program se va putea face doar in situatii deosebite, cu acceptul expres al autoritatii contractante si</w:t>
            </w:r>
            <w:r>
              <w:rPr>
                <w:sz w:val="20"/>
                <w:szCs w:val="20"/>
              </w:rPr>
              <w:t xml:space="preserve"> a unitatii militare primitoare.</w:t>
            </w:r>
          </w:p>
          <w:p w:rsidR="002205A4" w:rsidRPr="007E7E40" w:rsidRDefault="002205A4" w:rsidP="007E7E40">
            <w:pPr>
              <w:rPr>
                <w:sz w:val="20"/>
                <w:szCs w:val="20"/>
              </w:rPr>
            </w:pPr>
            <w:r w:rsidRPr="007E7E40">
              <w:rPr>
                <w:b/>
                <w:sz w:val="20"/>
                <w:szCs w:val="20"/>
              </w:rPr>
              <w:t>Recepția cantitativă</w:t>
            </w:r>
            <w:r>
              <w:rPr>
                <w:sz w:val="20"/>
                <w:szCs w:val="20"/>
              </w:rPr>
              <w:t xml:space="preserve"> se efectuează prin numărare bucată cu bucată la sediul unității militare primitoare menționată la punctul 3.4.1. în prezența delegațiilo</w:t>
            </w:r>
            <w:r w:rsidR="007E7E40">
              <w:rPr>
                <w:sz w:val="20"/>
                <w:szCs w:val="20"/>
              </w:rPr>
              <w:t>r primitorului și furnizorului.</w:t>
            </w:r>
          </w:p>
        </w:tc>
        <w:tc>
          <w:tcPr>
            <w:tcW w:w="2306" w:type="dxa"/>
            <w:vAlign w:val="center"/>
          </w:tcPr>
          <w:p w:rsidR="00317E53" w:rsidRPr="0011170D" w:rsidRDefault="00317E53" w:rsidP="00D36344">
            <w:pPr>
              <w:jc w:val="center"/>
            </w:pPr>
            <w:r w:rsidRPr="0011170D">
              <w:t>…….</w:t>
            </w:r>
          </w:p>
        </w:tc>
        <w:tc>
          <w:tcPr>
            <w:tcW w:w="1325" w:type="dxa"/>
          </w:tcPr>
          <w:p w:rsidR="00317E53" w:rsidRPr="0011170D" w:rsidRDefault="00317E53" w:rsidP="00884766"/>
        </w:tc>
      </w:tr>
      <w:tr w:rsidR="00884766" w:rsidRPr="0011170D" w:rsidTr="007E7E40">
        <w:tc>
          <w:tcPr>
            <w:tcW w:w="1168" w:type="dxa"/>
            <w:vAlign w:val="center"/>
          </w:tcPr>
          <w:p w:rsidR="00317E53" w:rsidRDefault="00317E53" w:rsidP="00884766">
            <w:pPr>
              <w:rPr>
                <w:b/>
              </w:rPr>
            </w:pPr>
          </w:p>
        </w:tc>
        <w:tc>
          <w:tcPr>
            <w:tcW w:w="5490" w:type="dxa"/>
            <w:vAlign w:val="center"/>
          </w:tcPr>
          <w:p w:rsidR="00317E53" w:rsidRPr="007E7E40" w:rsidRDefault="00317E53" w:rsidP="00AE3FD4">
            <w:pPr>
              <w:numPr>
                <w:ilvl w:val="0"/>
                <w:numId w:val="2"/>
              </w:numPr>
              <w:ind w:left="135" w:hanging="142"/>
              <w:rPr>
                <w:b/>
                <w:iCs/>
                <w:sz w:val="20"/>
                <w:szCs w:val="20"/>
              </w:rPr>
            </w:pPr>
            <w:r w:rsidRPr="007E7E40">
              <w:rPr>
                <w:b/>
                <w:iCs/>
                <w:sz w:val="20"/>
                <w:szCs w:val="20"/>
              </w:rPr>
              <w:t>Modalități și condiții de plată</w:t>
            </w:r>
          </w:p>
          <w:p w:rsidR="002205A4" w:rsidRDefault="002205A4" w:rsidP="002205A4">
            <w:pPr>
              <w:rPr>
                <w:sz w:val="20"/>
                <w:szCs w:val="20"/>
              </w:rPr>
            </w:pPr>
            <w:r>
              <w:rPr>
                <w:sz w:val="20"/>
                <w:szCs w:val="20"/>
              </w:rPr>
              <w:t>Contractantul va emit</w:t>
            </w:r>
            <w:r w:rsidR="007E7E40">
              <w:rPr>
                <w:sz w:val="20"/>
                <w:szCs w:val="20"/>
              </w:rPr>
              <w:t>e factura fiscală pentru cantitatea livrată</w:t>
            </w:r>
            <w:r>
              <w:rPr>
                <w:sz w:val="20"/>
                <w:szCs w:val="20"/>
              </w:rPr>
              <w:t xml:space="preserve">. </w:t>
            </w:r>
          </w:p>
          <w:p w:rsidR="002205A4" w:rsidRDefault="002205A4" w:rsidP="002205A4">
            <w:pPr>
              <w:rPr>
                <w:sz w:val="20"/>
                <w:szCs w:val="20"/>
              </w:rPr>
            </w:pPr>
            <w:r>
              <w:rPr>
                <w:sz w:val="20"/>
                <w:szCs w:val="20"/>
              </w:rPr>
              <w:t>Cantitatile inscrise în</w:t>
            </w:r>
            <w:r w:rsidRPr="00D77B45">
              <w:rPr>
                <w:sz w:val="20"/>
                <w:szCs w:val="20"/>
              </w:rPr>
              <w:t xml:space="preserve"> factura fiscala vor fi identice cu cele inscrise in avizul de insotire a rnarfii. Pe factura fiscala se vor specifica numarul contractului, denumirea integrala a produsului/produselor (specificata in anexa la contractul subsecvent) si unitatea militara primitoare, datele de emitere si de scadenta ale facturii respective.</w:t>
            </w:r>
          </w:p>
          <w:p w:rsidR="002205A4" w:rsidRDefault="002205A4" w:rsidP="002205A4">
            <w:pPr>
              <w:rPr>
                <w:sz w:val="20"/>
                <w:szCs w:val="20"/>
              </w:rPr>
            </w:pPr>
            <w:r w:rsidRPr="00D77B45">
              <w:rPr>
                <w:sz w:val="20"/>
                <w:szCs w:val="20"/>
              </w:rPr>
              <w:t xml:space="preserve"> Plata se face in baza documentelor primite la sediul autoritatii contractante, dupa cum urmeaza: </w:t>
            </w:r>
          </w:p>
          <w:p w:rsidR="007E7E40" w:rsidRDefault="002205A4" w:rsidP="002205A4">
            <w:pPr>
              <w:rPr>
                <w:sz w:val="20"/>
                <w:szCs w:val="20"/>
              </w:rPr>
            </w:pPr>
            <w:r>
              <w:rPr>
                <w:sz w:val="20"/>
                <w:szCs w:val="20"/>
              </w:rPr>
              <w:t>- de la contractant</w:t>
            </w:r>
            <w:r w:rsidRPr="00D77B45">
              <w:rPr>
                <w:sz w:val="20"/>
                <w:szCs w:val="20"/>
              </w:rPr>
              <w:t xml:space="preserve">: </w:t>
            </w:r>
          </w:p>
          <w:p w:rsidR="007E7E40" w:rsidRDefault="002205A4" w:rsidP="002205A4">
            <w:pPr>
              <w:rPr>
                <w:sz w:val="20"/>
                <w:szCs w:val="20"/>
              </w:rPr>
            </w:pPr>
            <w:r w:rsidRPr="00D77B45">
              <w:rPr>
                <w:sz w:val="20"/>
                <w:szCs w:val="20"/>
              </w:rPr>
              <w:t xml:space="preserve">a) factura fiscala (in original); </w:t>
            </w:r>
          </w:p>
          <w:p w:rsidR="007E7E40" w:rsidRDefault="002205A4" w:rsidP="002205A4">
            <w:pPr>
              <w:rPr>
                <w:sz w:val="20"/>
                <w:szCs w:val="20"/>
              </w:rPr>
            </w:pPr>
            <w:r w:rsidRPr="00D77B45">
              <w:rPr>
                <w:sz w:val="20"/>
                <w:szCs w:val="20"/>
              </w:rPr>
              <w:t xml:space="preserve">b) certificat de calitate (in original); </w:t>
            </w:r>
          </w:p>
          <w:p w:rsidR="002205A4" w:rsidRDefault="007E7E40" w:rsidP="002205A4">
            <w:pPr>
              <w:rPr>
                <w:sz w:val="20"/>
                <w:szCs w:val="20"/>
              </w:rPr>
            </w:pPr>
            <w:r>
              <w:rPr>
                <w:sz w:val="20"/>
                <w:szCs w:val="20"/>
              </w:rPr>
              <w:t>c</w:t>
            </w:r>
            <w:r w:rsidR="002205A4" w:rsidRPr="00D77B45">
              <w:rPr>
                <w:sz w:val="20"/>
                <w:szCs w:val="20"/>
              </w:rPr>
              <w:t>) procesul verbal de receptie calitativa intocmit de reprezentantii U.M. 0</w:t>
            </w:r>
            <w:r w:rsidR="00C861F7">
              <w:rPr>
                <w:sz w:val="20"/>
                <w:szCs w:val="20"/>
              </w:rPr>
              <w:t>1016</w:t>
            </w:r>
            <w:r w:rsidR="002205A4" w:rsidRPr="00D77B45">
              <w:rPr>
                <w:sz w:val="20"/>
                <w:szCs w:val="20"/>
              </w:rPr>
              <w:t xml:space="preserve"> </w:t>
            </w:r>
            <w:r w:rsidR="00C861F7">
              <w:rPr>
                <w:sz w:val="20"/>
                <w:szCs w:val="20"/>
              </w:rPr>
              <w:t>Tg. Mureș</w:t>
            </w:r>
            <w:r w:rsidR="002205A4" w:rsidRPr="00D77B45">
              <w:rPr>
                <w:sz w:val="20"/>
                <w:szCs w:val="20"/>
              </w:rPr>
              <w:t xml:space="preserve"> (exemplarul nr.1); </w:t>
            </w:r>
          </w:p>
          <w:p w:rsidR="007E7E40" w:rsidRDefault="002205A4" w:rsidP="002205A4">
            <w:pPr>
              <w:rPr>
                <w:sz w:val="20"/>
                <w:szCs w:val="20"/>
              </w:rPr>
            </w:pPr>
            <w:r w:rsidRPr="00D77B45">
              <w:rPr>
                <w:sz w:val="20"/>
                <w:szCs w:val="20"/>
              </w:rPr>
              <w:t xml:space="preserve">- de la unitatea militara primitoare: </w:t>
            </w:r>
          </w:p>
          <w:p w:rsidR="002205A4" w:rsidRDefault="007E7E40" w:rsidP="002205A4">
            <w:pPr>
              <w:rPr>
                <w:sz w:val="20"/>
                <w:szCs w:val="20"/>
              </w:rPr>
            </w:pPr>
            <w:r>
              <w:rPr>
                <w:sz w:val="20"/>
                <w:szCs w:val="20"/>
              </w:rPr>
              <w:t>d</w:t>
            </w:r>
            <w:r w:rsidR="002205A4" w:rsidRPr="00D77B45">
              <w:rPr>
                <w:sz w:val="20"/>
                <w:szCs w:val="20"/>
              </w:rPr>
              <w:t>) nota de receptie constatare diferente (N.R.C.D.</w:t>
            </w:r>
            <w:r w:rsidR="002205A4">
              <w:rPr>
                <w:sz w:val="20"/>
                <w:szCs w:val="20"/>
              </w:rPr>
              <w:t>). Plata se va face in baza prețu</w:t>
            </w:r>
            <w:r w:rsidR="002205A4" w:rsidRPr="00D77B45">
              <w:rPr>
                <w:sz w:val="20"/>
                <w:szCs w:val="20"/>
              </w:rPr>
              <w:t xml:space="preserve">rilor unitare. Platile in favoarea </w:t>
            </w:r>
            <w:r w:rsidR="002205A4">
              <w:rPr>
                <w:sz w:val="20"/>
                <w:szCs w:val="20"/>
              </w:rPr>
              <w:t>Contractantului</w:t>
            </w:r>
            <w:r w:rsidR="002205A4" w:rsidRPr="00D77B45">
              <w:rPr>
                <w:sz w:val="20"/>
                <w:szCs w:val="20"/>
              </w:rPr>
              <w:t xml:space="preserve"> se vor efectua in termen de maximum 60 zile de la receptiei cantitative.</w:t>
            </w:r>
            <w:r>
              <w:rPr>
                <w:sz w:val="20"/>
                <w:szCs w:val="20"/>
              </w:rPr>
              <w:t xml:space="preserve"> Și/sau data primirii tuturor documentelor justificative. </w:t>
            </w:r>
          </w:p>
          <w:p w:rsidR="007E7E40" w:rsidRPr="00AE3FD4" w:rsidRDefault="007E7E40" w:rsidP="002205A4">
            <w:pPr>
              <w:rPr>
                <w:iCs/>
                <w:sz w:val="20"/>
                <w:szCs w:val="20"/>
              </w:rPr>
            </w:pPr>
            <w:r>
              <w:rPr>
                <w:sz w:val="20"/>
                <w:szCs w:val="20"/>
              </w:rPr>
              <w:t>Orice prevedere privind data scadentă de plată înscrisă pe factura fiscală</w:t>
            </w:r>
            <w:r w:rsidR="00E12028">
              <w:rPr>
                <w:sz w:val="20"/>
                <w:szCs w:val="20"/>
              </w:rPr>
              <w:t xml:space="preserve"> care nu respectă termenul de plată  din contract este nulă </w:t>
            </w:r>
            <w:r w:rsidR="00E12028">
              <w:rPr>
                <w:sz w:val="20"/>
                <w:szCs w:val="20"/>
              </w:rPr>
              <w:lastRenderedPageBreak/>
              <w:t xml:space="preserve">de drept. Achizitorul va restitui în vederea corectării documentele de plată care nu respectă prevederile menționate anterior. În acest caz, termenul de plată se va calcula de la data primirii documentelor de plată întocmite corespunzător. </w:t>
            </w:r>
          </w:p>
        </w:tc>
        <w:tc>
          <w:tcPr>
            <w:tcW w:w="2306" w:type="dxa"/>
            <w:vAlign w:val="center"/>
          </w:tcPr>
          <w:p w:rsidR="00317E53" w:rsidRPr="0011170D" w:rsidRDefault="00317E53" w:rsidP="00D36344">
            <w:pPr>
              <w:jc w:val="center"/>
            </w:pPr>
            <w:r w:rsidRPr="0011170D">
              <w:lastRenderedPageBreak/>
              <w:t>…….</w:t>
            </w:r>
          </w:p>
        </w:tc>
        <w:tc>
          <w:tcPr>
            <w:tcW w:w="1325" w:type="dxa"/>
          </w:tcPr>
          <w:p w:rsidR="00317E53" w:rsidRPr="0011170D" w:rsidRDefault="00317E53" w:rsidP="00884766"/>
        </w:tc>
      </w:tr>
      <w:tr w:rsidR="00884766" w:rsidRPr="0011170D" w:rsidTr="00636B56">
        <w:trPr>
          <w:cantSplit/>
          <w:trHeight w:hRule="exact" w:val="1423"/>
        </w:trPr>
        <w:tc>
          <w:tcPr>
            <w:tcW w:w="1168" w:type="dxa"/>
            <w:vAlign w:val="center"/>
          </w:tcPr>
          <w:p w:rsidR="00317E53" w:rsidRDefault="00317E53" w:rsidP="00884766">
            <w:pPr>
              <w:rPr>
                <w:b/>
              </w:rPr>
            </w:pPr>
          </w:p>
        </w:tc>
        <w:tc>
          <w:tcPr>
            <w:tcW w:w="5490" w:type="dxa"/>
            <w:vAlign w:val="center"/>
          </w:tcPr>
          <w:p w:rsidR="00317E53" w:rsidRDefault="00317E53" w:rsidP="00AE3FD4">
            <w:pPr>
              <w:pStyle w:val="Heading1"/>
              <w:keepNext w:val="0"/>
              <w:widowControl w:val="0"/>
              <w:tabs>
                <w:tab w:val="left" w:pos="284"/>
              </w:tabs>
              <w:spacing w:before="0" w:after="0"/>
              <w:rPr>
                <w:rFonts w:ascii="Times New Roman" w:hAnsi="Times New Roman"/>
                <w:b w:val="0"/>
                <w:sz w:val="20"/>
                <w:szCs w:val="20"/>
              </w:rPr>
            </w:pPr>
            <w:r w:rsidRPr="00AE3FD4">
              <w:rPr>
                <w:rFonts w:ascii="Times New Roman" w:hAnsi="Times New Roman"/>
                <w:b w:val="0"/>
                <w:sz w:val="20"/>
                <w:szCs w:val="20"/>
              </w:rPr>
              <w:t xml:space="preserve">- Cadrul legal care guvernează relația dintre Autoritatea/entitatea contractantă și Contractant (inclusiv în domeniile mediului, social și al relațiilor de muncă) </w:t>
            </w:r>
          </w:p>
          <w:p w:rsidR="002205A4" w:rsidRPr="002205A4" w:rsidRDefault="002205A4" w:rsidP="002205A4">
            <w:pPr>
              <w:rPr>
                <w:lang w:eastAsia="ro-RO"/>
              </w:rPr>
            </w:pPr>
            <w:r>
              <w:rPr>
                <w:i/>
                <w:iCs/>
                <w:sz w:val="20"/>
                <w:szCs w:val="20"/>
                <w:u w:val="single"/>
              </w:rPr>
              <w:t>(</w:t>
            </w:r>
            <w:r w:rsidRPr="002205A4">
              <w:rPr>
                <w:i/>
                <w:iCs/>
                <w:sz w:val="20"/>
                <w:szCs w:val="20"/>
                <w:u w:val="single"/>
              </w:rPr>
              <w:t xml:space="preserve">Ofertantul își va asuma </w:t>
            </w:r>
            <w:r>
              <w:rPr>
                <w:i/>
                <w:sz w:val="20"/>
                <w:szCs w:val="20"/>
                <w:u w:val="single"/>
              </w:rPr>
              <w:t>c</w:t>
            </w:r>
            <w:r w:rsidRPr="002205A4">
              <w:rPr>
                <w:i/>
                <w:sz w:val="20"/>
                <w:szCs w:val="20"/>
                <w:u w:val="single"/>
              </w:rPr>
              <w:t>adrul legal care guvernează relația dintre Autoritatea/entitatea contractantă și Contractant</w:t>
            </w:r>
            <w:r>
              <w:rPr>
                <w:i/>
                <w:iCs/>
                <w:sz w:val="20"/>
                <w:szCs w:val="20"/>
                <w:u w:val="single"/>
              </w:rPr>
              <w:t xml:space="preserve"> )</w:t>
            </w:r>
          </w:p>
        </w:tc>
        <w:tc>
          <w:tcPr>
            <w:tcW w:w="2306" w:type="dxa"/>
            <w:vAlign w:val="center"/>
          </w:tcPr>
          <w:p w:rsidR="00317E53" w:rsidRPr="0011170D" w:rsidRDefault="00317E53" w:rsidP="00D36344">
            <w:pPr>
              <w:jc w:val="center"/>
            </w:pPr>
            <w:r w:rsidRPr="0011170D">
              <w:t>…….</w:t>
            </w:r>
          </w:p>
        </w:tc>
        <w:tc>
          <w:tcPr>
            <w:tcW w:w="1325" w:type="dxa"/>
          </w:tcPr>
          <w:p w:rsidR="00317E53" w:rsidRPr="0011170D" w:rsidRDefault="00317E53" w:rsidP="00884766"/>
        </w:tc>
      </w:tr>
      <w:tr w:rsidR="00884766" w:rsidRPr="0011170D" w:rsidTr="00636B56">
        <w:trPr>
          <w:cantSplit/>
          <w:trHeight w:hRule="exact" w:val="1131"/>
        </w:trPr>
        <w:tc>
          <w:tcPr>
            <w:tcW w:w="1168" w:type="dxa"/>
            <w:vAlign w:val="center"/>
          </w:tcPr>
          <w:p w:rsidR="00317E53" w:rsidRDefault="00317E53" w:rsidP="00884766">
            <w:pPr>
              <w:rPr>
                <w:b/>
              </w:rPr>
            </w:pPr>
          </w:p>
        </w:tc>
        <w:tc>
          <w:tcPr>
            <w:tcW w:w="5490" w:type="dxa"/>
            <w:vAlign w:val="center"/>
          </w:tcPr>
          <w:p w:rsidR="00317E53" w:rsidRDefault="00317E53" w:rsidP="00AE3FD4">
            <w:pPr>
              <w:pStyle w:val="Heading1"/>
              <w:keepNext w:val="0"/>
              <w:widowControl w:val="0"/>
              <w:spacing w:before="0" w:after="0"/>
              <w:rPr>
                <w:rFonts w:ascii="Times New Roman" w:hAnsi="Times New Roman"/>
                <w:b w:val="0"/>
                <w:sz w:val="20"/>
                <w:szCs w:val="20"/>
              </w:rPr>
            </w:pPr>
            <w:r w:rsidRPr="00AE3FD4">
              <w:rPr>
                <w:rFonts w:ascii="Times New Roman" w:hAnsi="Times New Roman"/>
                <w:b w:val="0"/>
                <w:sz w:val="20"/>
                <w:szCs w:val="20"/>
              </w:rPr>
              <w:t xml:space="preserve">- Managementul/gestionarea Contractului și activități de raportare în cadrul Contractului </w:t>
            </w:r>
          </w:p>
          <w:p w:rsidR="002205A4" w:rsidRPr="002205A4" w:rsidRDefault="002205A4" w:rsidP="002205A4">
            <w:pPr>
              <w:rPr>
                <w:i/>
                <w:lang w:eastAsia="ro-RO"/>
              </w:rPr>
            </w:pPr>
            <w:r>
              <w:rPr>
                <w:i/>
                <w:iCs/>
                <w:sz w:val="20"/>
                <w:szCs w:val="20"/>
                <w:u w:val="single"/>
              </w:rPr>
              <w:t>(</w:t>
            </w:r>
            <w:r w:rsidRPr="002205A4">
              <w:rPr>
                <w:i/>
                <w:iCs/>
                <w:sz w:val="20"/>
                <w:szCs w:val="20"/>
                <w:u w:val="single"/>
              </w:rPr>
              <w:t xml:space="preserve">Ofertantul își va </w:t>
            </w:r>
            <w:r w:rsidRPr="002205A4">
              <w:rPr>
                <w:i/>
                <w:sz w:val="20"/>
                <w:szCs w:val="20"/>
                <w:u w:val="single"/>
              </w:rPr>
              <w:t>managementul/gestionarea Contractului și activități de raportare în cadrul Contractului</w:t>
            </w:r>
            <w:r w:rsidRPr="002205A4">
              <w:rPr>
                <w:i/>
                <w:iCs/>
                <w:sz w:val="20"/>
                <w:szCs w:val="20"/>
                <w:u w:val="single"/>
              </w:rPr>
              <w:t>)</w:t>
            </w:r>
          </w:p>
          <w:p w:rsidR="002205A4" w:rsidRPr="002205A4" w:rsidRDefault="002205A4" w:rsidP="002205A4">
            <w:pPr>
              <w:rPr>
                <w:lang w:eastAsia="ro-RO"/>
              </w:rPr>
            </w:pPr>
          </w:p>
        </w:tc>
        <w:tc>
          <w:tcPr>
            <w:tcW w:w="2306" w:type="dxa"/>
            <w:vAlign w:val="center"/>
          </w:tcPr>
          <w:p w:rsidR="00317E53" w:rsidRPr="0011170D" w:rsidRDefault="00317E53" w:rsidP="00D36344">
            <w:pPr>
              <w:jc w:val="center"/>
            </w:pPr>
            <w:r w:rsidRPr="0011170D">
              <w:t>…….</w:t>
            </w:r>
          </w:p>
        </w:tc>
        <w:tc>
          <w:tcPr>
            <w:tcW w:w="1325" w:type="dxa"/>
          </w:tcPr>
          <w:p w:rsidR="00317E53" w:rsidRPr="0011170D" w:rsidRDefault="00317E53" w:rsidP="00884766"/>
        </w:tc>
      </w:tr>
      <w:tr w:rsidR="00317E53" w:rsidRPr="0011170D" w:rsidTr="00636B56">
        <w:trPr>
          <w:cantSplit/>
          <w:trHeight w:hRule="exact" w:val="267"/>
        </w:trPr>
        <w:tc>
          <w:tcPr>
            <w:tcW w:w="10289" w:type="dxa"/>
            <w:gridSpan w:val="4"/>
            <w:vAlign w:val="center"/>
          </w:tcPr>
          <w:p w:rsidR="00317E53" w:rsidRPr="00E82829" w:rsidRDefault="00317E53" w:rsidP="00920BEE">
            <w:pPr>
              <w:jc w:val="center"/>
              <w:rPr>
                <w:b/>
              </w:rPr>
            </w:pPr>
            <w:r w:rsidRPr="00E82829">
              <w:rPr>
                <w:b/>
              </w:rPr>
              <w:t>SPECIFICAȚIA TEHNICĂ</w:t>
            </w:r>
            <w:r w:rsidR="00C30BA7">
              <w:rPr>
                <w:b/>
              </w:rPr>
              <w:t xml:space="preserve"> ST-8</w:t>
            </w:r>
            <w:r w:rsidR="00E12028">
              <w:rPr>
                <w:b/>
              </w:rPr>
              <w:t>73</w:t>
            </w:r>
            <w:r w:rsidR="00C30BA7">
              <w:rPr>
                <w:b/>
              </w:rPr>
              <w:t>-2</w:t>
            </w:r>
            <w:r w:rsidR="00E12028">
              <w:rPr>
                <w:b/>
              </w:rPr>
              <w:t>2</w:t>
            </w:r>
            <w:r w:rsidR="00C30BA7">
              <w:rPr>
                <w:b/>
              </w:rPr>
              <w:t xml:space="preserve"> – Rație indivuduală de luptă (fără apă minerală</w:t>
            </w:r>
            <w:r w:rsidR="00E12028">
              <w:rPr>
                <w:b/>
              </w:rPr>
              <w:t xml:space="preserve"> și comprimate de dezinfecție a apei</w:t>
            </w:r>
            <w:r w:rsidR="00C30BA7">
              <w:rPr>
                <w:b/>
              </w:rPr>
              <w:t>)</w:t>
            </w:r>
          </w:p>
        </w:tc>
      </w:tr>
      <w:tr w:rsidR="00636B56" w:rsidRPr="0011170D" w:rsidTr="00636B56">
        <w:tc>
          <w:tcPr>
            <w:tcW w:w="1168" w:type="dxa"/>
            <w:vMerge w:val="restart"/>
            <w:vAlign w:val="center"/>
          </w:tcPr>
          <w:p w:rsidR="00636B56" w:rsidRDefault="00636B56" w:rsidP="00884766">
            <w:pPr>
              <w:rPr>
                <w:b/>
              </w:rPr>
            </w:pPr>
          </w:p>
        </w:tc>
        <w:tc>
          <w:tcPr>
            <w:tcW w:w="5490" w:type="dxa"/>
            <w:vAlign w:val="center"/>
          </w:tcPr>
          <w:p w:rsidR="00636B56" w:rsidRPr="000F5525" w:rsidRDefault="00636B56" w:rsidP="000F5525">
            <w:pPr>
              <w:pStyle w:val="Heading1"/>
              <w:keepNext w:val="0"/>
              <w:widowControl w:val="0"/>
              <w:spacing w:before="0" w:after="0" w:line="276" w:lineRule="auto"/>
              <w:rPr>
                <w:rFonts w:ascii="Times New Roman" w:hAnsi="Times New Roman"/>
                <w:b w:val="0"/>
                <w:sz w:val="22"/>
                <w:szCs w:val="22"/>
              </w:rPr>
            </w:pPr>
            <w:r w:rsidRPr="00E82829">
              <w:rPr>
                <w:rFonts w:ascii="Times New Roman" w:hAnsi="Times New Roman"/>
                <w:b w:val="0"/>
                <w:sz w:val="22"/>
                <w:szCs w:val="22"/>
              </w:rPr>
              <w:t>Condiții tehnice de calitate</w:t>
            </w:r>
            <w:r>
              <w:rPr>
                <w:rFonts w:ascii="Times New Roman" w:hAnsi="Times New Roman"/>
                <w:b w:val="0"/>
                <w:sz w:val="22"/>
                <w:szCs w:val="22"/>
              </w:rPr>
              <w:t xml:space="preserve"> </w:t>
            </w:r>
          </w:p>
          <w:p w:rsidR="00636B56" w:rsidRDefault="00636B56" w:rsidP="000F5525">
            <w:pPr>
              <w:rPr>
                <w:sz w:val="20"/>
                <w:szCs w:val="20"/>
              </w:rPr>
            </w:pPr>
            <w:r>
              <w:rPr>
                <w:sz w:val="20"/>
                <w:szCs w:val="20"/>
              </w:rPr>
              <w:t>Structura Rației individuale de luptă este următoarea:</w:t>
            </w:r>
          </w:p>
          <w:p w:rsidR="00636B56" w:rsidRDefault="00636B56" w:rsidP="000F5525">
            <w:pPr>
              <w:rPr>
                <w:sz w:val="20"/>
                <w:szCs w:val="20"/>
              </w:rPr>
            </w:pPr>
            <w:r>
              <w:rPr>
                <w:sz w:val="20"/>
                <w:szCs w:val="20"/>
              </w:rPr>
              <w:t>Alimente:  50-60% carbohidrați, 25-35% lipide, 10-20% proteine -5010 calorii/zi</w:t>
            </w:r>
          </w:p>
          <w:p w:rsidR="00636B56" w:rsidRDefault="00636B56" w:rsidP="000F5525">
            <w:pPr>
              <w:rPr>
                <w:sz w:val="20"/>
                <w:szCs w:val="20"/>
              </w:rPr>
            </w:pPr>
            <w:r>
              <w:rPr>
                <w:sz w:val="20"/>
                <w:szCs w:val="20"/>
              </w:rPr>
              <w:t>Materiale pentru servirea hranei – 3 pachete</w:t>
            </w:r>
          </w:p>
          <w:p w:rsidR="00636B56" w:rsidRPr="000F5525" w:rsidRDefault="00636B56" w:rsidP="000F5525">
            <w:pPr>
              <w:rPr>
                <w:sz w:val="20"/>
                <w:szCs w:val="20"/>
              </w:rPr>
            </w:pPr>
            <w:r>
              <w:rPr>
                <w:sz w:val="20"/>
                <w:szCs w:val="20"/>
              </w:rPr>
              <w:t>Surse de încălzire – 4 buc.</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636B56" w:rsidRPr="0011170D" w:rsidTr="00636B56">
        <w:tc>
          <w:tcPr>
            <w:tcW w:w="1168" w:type="dxa"/>
            <w:vMerge/>
            <w:vAlign w:val="center"/>
          </w:tcPr>
          <w:p w:rsidR="00636B56" w:rsidRDefault="00636B56" w:rsidP="00884766">
            <w:pPr>
              <w:rPr>
                <w:b/>
              </w:rPr>
            </w:pPr>
          </w:p>
        </w:tc>
        <w:tc>
          <w:tcPr>
            <w:tcW w:w="5490" w:type="dxa"/>
            <w:vAlign w:val="center"/>
          </w:tcPr>
          <w:p w:rsidR="00636B56" w:rsidRDefault="00636B56" w:rsidP="000F5525">
            <w:pPr>
              <w:rPr>
                <w:lang w:eastAsia="ro-RO"/>
              </w:rPr>
            </w:pPr>
            <w:r>
              <w:rPr>
                <w:lang w:eastAsia="ro-RO"/>
              </w:rPr>
              <w:t>Alimente</w:t>
            </w:r>
          </w:p>
          <w:p w:rsidR="00636B56" w:rsidRDefault="00636B56" w:rsidP="000F5525">
            <w:pPr>
              <w:rPr>
                <w:sz w:val="20"/>
                <w:szCs w:val="20"/>
              </w:rPr>
            </w:pPr>
            <w:r>
              <w:rPr>
                <w:sz w:val="20"/>
                <w:szCs w:val="20"/>
              </w:rPr>
              <w:t>Alimente – alimentele care compun RIL asigură hrana adecvată unei persoane pentru 24 de ore, cu un aport caloric de 5010</w:t>
            </w:r>
            <w:r w:rsidR="00E12028">
              <w:rPr>
                <w:sz w:val="20"/>
                <w:szCs w:val="20"/>
              </w:rPr>
              <w:t>±20</w:t>
            </w:r>
            <w:r>
              <w:rPr>
                <w:sz w:val="20"/>
                <w:szCs w:val="20"/>
              </w:rPr>
              <w:t xml:space="preserve"> calorii (50-60% carbohidrați, 25-35% lipide, 10-20% proteine).</w:t>
            </w:r>
          </w:p>
          <w:p w:rsidR="00636B56" w:rsidRDefault="00636B56" w:rsidP="000F5525">
            <w:pPr>
              <w:rPr>
                <w:sz w:val="20"/>
                <w:szCs w:val="20"/>
              </w:rPr>
            </w:pPr>
            <w:r>
              <w:rPr>
                <w:sz w:val="20"/>
                <w:szCs w:val="20"/>
              </w:rPr>
              <w:t>Produsele alimentare vor fi grupate pe 3 mese principale: mic dejun, prânz și cină. Masa de prânz trebuie să furnizeze un aport caloric mai mare de micul dejun s</w:t>
            </w:r>
            <w:r w:rsidR="00E12028">
              <w:rPr>
                <w:sz w:val="20"/>
                <w:szCs w:val="20"/>
              </w:rPr>
              <w:t xml:space="preserve">au cină, repartizat astfel: </w:t>
            </w:r>
          </w:p>
          <w:p w:rsidR="00E12028" w:rsidRDefault="00E12028" w:rsidP="00E12028">
            <w:pPr>
              <w:rPr>
                <w:sz w:val="20"/>
                <w:szCs w:val="20"/>
              </w:rPr>
            </w:pPr>
            <w:r>
              <w:rPr>
                <w:sz w:val="20"/>
                <w:szCs w:val="20"/>
              </w:rPr>
              <w:t>Micul dejun – min 25% - maxim 30 % din aportul caloric al rației;</w:t>
            </w:r>
          </w:p>
          <w:p w:rsidR="00E12028" w:rsidRDefault="00E12028" w:rsidP="00E12028">
            <w:pPr>
              <w:rPr>
                <w:sz w:val="20"/>
                <w:szCs w:val="20"/>
              </w:rPr>
            </w:pPr>
            <w:r>
              <w:rPr>
                <w:sz w:val="20"/>
                <w:szCs w:val="20"/>
              </w:rPr>
              <w:t>Prânzul – minim 40% -  maxim 50% din aportul caloric al rației de luptă;</w:t>
            </w:r>
          </w:p>
          <w:p w:rsidR="00E12028" w:rsidRDefault="00E12028" w:rsidP="00E12028">
            <w:pPr>
              <w:rPr>
                <w:sz w:val="20"/>
                <w:szCs w:val="20"/>
              </w:rPr>
            </w:pPr>
            <w:r>
              <w:rPr>
                <w:sz w:val="20"/>
                <w:szCs w:val="20"/>
              </w:rPr>
              <w:t xml:space="preserve">Cina – minim 20% - maxim 30% din aportul caloric al rației. </w:t>
            </w:r>
          </w:p>
          <w:p w:rsidR="00E12028" w:rsidRDefault="00E12028" w:rsidP="000F5525">
            <w:pPr>
              <w:rPr>
                <w:sz w:val="20"/>
                <w:szCs w:val="20"/>
              </w:rPr>
            </w:pPr>
          </w:p>
          <w:p w:rsidR="00636B56" w:rsidRDefault="00636B56" w:rsidP="005D645B">
            <w:pPr>
              <w:rPr>
                <w:sz w:val="20"/>
                <w:szCs w:val="20"/>
              </w:rPr>
            </w:pPr>
            <w:r>
              <w:rPr>
                <w:sz w:val="20"/>
                <w:szCs w:val="20"/>
              </w:rPr>
              <w:t>Structura unei mese:</w:t>
            </w:r>
          </w:p>
          <w:p w:rsidR="00636B56" w:rsidRDefault="00636B56"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Un fel principal de tipul meal ready-to-eat;</w:t>
            </w:r>
          </w:p>
          <w:p w:rsidR="00636B56" w:rsidRDefault="00636B56"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Biscuit (crackers) sau pâine</w:t>
            </w:r>
          </w:p>
          <w:p w:rsidR="00636B56" w:rsidRDefault="00636B56"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Băuturi reci sau calde;</w:t>
            </w:r>
          </w:p>
          <w:p w:rsidR="00E12028" w:rsidRDefault="00636B56"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Gustări </w:t>
            </w:r>
          </w:p>
          <w:p w:rsidR="00636B56" w:rsidRDefault="00E12028"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D</w:t>
            </w:r>
            <w:r w:rsidR="00636B56">
              <w:rPr>
                <w:rFonts w:ascii="Times New Roman" w:hAnsi="Times New Roman"/>
                <w:sz w:val="20"/>
                <w:szCs w:val="20"/>
              </w:rPr>
              <w:t>ulciuri;</w:t>
            </w:r>
          </w:p>
          <w:p w:rsidR="00636B56" w:rsidRDefault="00E12028" w:rsidP="005D645B">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Produse alimentare</w:t>
            </w:r>
            <w:r w:rsidR="00636B56">
              <w:rPr>
                <w:rFonts w:ascii="Times New Roman" w:hAnsi="Times New Roman"/>
                <w:sz w:val="20"/>
                <w:szCs w:val="20"/>
              </w:rPr>
              <w:t xml:space="preserve"> tartinabile.</w:t>
            </w:r>
          </w:p>
          <w:p w:rsidR="00636B56" w:rsidRPr="000F5525" w:rsidRDefault="00636B56" w:rsidP="005D645B">
            <w:pPr>
              <w:rPr>
                <w:lang w:eastAsia="ro-RO"/>
              </w:rPr>
            </w:pPr>
            <w:r>
              <w:rPr>
                <w:sz w:val="20"/>
                <w:szCs w:val="20"/>
              </w:rPr>
              <w:t>Produsele alimentare care se consumă după o prealabilă rehidratare utilizează apa rece pentru prepararea lor sau asigurarea posibilității încălzirii apei cu aceeași sursă de încălzire a felului principal.</w:t>
            </w:r>
          </w:p>
        </w:tc>
        <w:tc>
          <w:tcPr>
            <w:tcW w:w="2306" w:type="dxa"/>
            <w:vAlign w:val="center"/>
          </w:tcPr>
          <w:p w:rsidR="00636B56" w:rsidRPr="0011170D" w:rsidRDefault="00636B56" w:rsidP="00D36344">
            <w:pPr>
              <w:jc w:val="center"/>
            </w:pPr>
          </w:p>
        </w:tc>
        <w:tc>
          <w:tcPr>
            <w:tcW w:w="1325" w:type="dxa"/>
          </w:tcPr>
          <w:p w:rsidR="00636B56" w:rsidRPr="0011170D" w:rsidRDefault="00636B56" w:rsidP="00884766"/>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Default="00636B56" w:rsidP="005D645B">
            <w:pPr>
              <w:rPr>
                <w:sz w:val="20"/>
                <w:szCs w:val="20"/>
              </w:rPr>
            </w:pPr>
            <w:r>
              <w:rPr>
                <w:sz w:val="20"/>
                <w:szCs w:val="20"/>
              </w:rPr>
              <w:t>Mancare gătită de tipul meal ready-to-eat</w:t>
            </w:r>
          </w:p>
          <w:p w:rsidR="00E12028" w:rsidRDefault="00636B56" w:rsidP="005D645B">
            <w:pPr>
              <w:rPr>
                <w:sz w:val="20"/>
                <w:szCs w:val="20"/>
              </w:rPr>
            </w:pPr>
            <w:r>
              <w:rPr>
                <w:sz w:val="20"/>
                <w:szCs w:val="20"/>
              </w:rPr>
              <w:t xml:space="preserve">Produsul va fi obținut prin prelucrarea cărnii de porc, pui, vită sau preparate din carne obținute prin procesarea cărnii de porc, vită, pui (conform punctului 1.15 din anexa nr. 1 la Regulementul CE nr. 853/2004). Nu se admite utilizarea cărnii separate mecanic (definită de punctul 1.14 din anexa nr. 1 la Regulementul CE nr. 853/2004 ). </w:t>
            </w:r>
          </w:p>
          <w:p w:rsidR="00E12028" w:rsidRDefault="00E12028" w:rsidP="005D645B">
            <w:pPr>
              <w:rPr>
                <w:sz w:val="20"/>
                <w:szCs w:val="20"/>
              </w:rPr>
            </w:pPr>
            <w:r>
              <w:rPr>
                <w:sz w:val="20"/>
                <w:szCs w:val="20"/>
              </w:rPr>
              <w:t>Conținutul de carne sau de preparate de carne</w:t>
            </w:r>
            <w:r w:rsidR="008835A3">
              <w:rPr>
                <w:sz w:val="20"/>
                <w:szCs w:val="20"/>
              </w:rPr>
              <w:t xml:space="preserve"> trebuie să fie de minim 80g. </w:t>
            </w:r>
          </w:p>
          <w:p w:rsidR="00636B56" w:rsidRDefault="00636B56" w:rsidP="005D645B">
            <w:pPr>
              <w:rPr>
                <w:sz w:val="20"/>
                <w:szCs w:val="20"/>
              </w:rPr>
            </w:pPr>
            <w:r>
              <w:rPr>
                <w:sz w:val="20"/>
                <w:szCs w:val="20"/>
              </w:rPr>
              <w:t>Greutatea pe unitatea individuală de ambalare va fi de 300-450 g.  Produsul va avea un ambalaj termosudat, care să nu sufere modificări în timpul procesului de încălzire (pe bază de reacție chimică).</w:t>
            </w:r>
          </w:p>
          <w:p w:rsidR="00636B56" w:rsidRPr="005D645B" w:rsidRDefault="00636B56" w:rsidP="005D645B">
            <w:pPr>
              <w:rPr>
                <w:sz w:val="20"/>
                <w:szCs w:val="20"/>
              </w:rPr>
            </w:pPr>
            <w:r>
              <w:rPr>
                <w:sz w:val="20"/>
                <w:szCs w:val="20"/>
              </w:rPr>
              <w:t>Termenul de valabilitate trebuie să fie de minim 24 de luni, la temperaturi ≤25</w:t>
            </w:r>
            <w:r>
              <w:rPr>
                <w:sz w:val="20"/>
                <w:szCs w:val="20"/>
                <w:vertAlign w:val="superscript"/>
              </w:rPr>
              <w:t>0</w:t>
            </w:r>
            <w:r>
              <w:rPr>
                <w:sz w:val="20"/>
                <w:szCs w:val="20"/>
              </w:rPr>
              <w:t>C.</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Default="00636B56" w:rsidP="005D645B">
            <w:pPr>
              <w:rPr>
                <w:sz w:val="20"/>
                <w:szCs w:val="20"/>
              </w:rPr>
            </w:pPr>
            <w:r>
              <w:rPr>
                <w:sz w:val="20"/>
                <w:szCs w:val="20"/>
              </w:rPr>
              <w:t>Biscuiți sau pâine: Produsul</w:t>
            </w:r>
            <w:r w:rsidRPr="005D645B">
              <w:rPr>
                <w:i/>
                <w:sz w:val="20"/>
                <w:szCs w:val="20"/>
              </w:rPr>
              <w:t xml:space="preserve"> biscuiti</w:t>
            </w:r>
            <w:r>
              <w:rPr>
                <w:sz w:val="20"/>
                <w:szCs w:val="20"/>
              </w:rPr>
              <w:t xml:space="preserve"> se referă la biscuiți-crackers și sunt de tip </w:t>
            </w:r>
            <w:r w:rsidRPr="005D645B">
              <w:rPr>
                <w:i/>
                <w:sz w:val="20"/>
                <w:szCs w:val="20"/>
              </w:rPr>
              <w:t>biscuiti aperitiv</w:t>
            </w:r>
            <w:r>
              <w:rPr>
                <w:sz w:val="20"/>
                <w:szCs w:val="20"/>
              </w:rPr>
              <w:t>. Modul de ambalare a biscuiților previne spargerea acestora. Termenul de valabilitate este de 24 luni de la data livrării. Produsul pâine se referă la pâine cu termen lung de valabilitate (minim 24 de luni de la data livrării).</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8835A3" w:rsidRDefault="00636B56" w:rsidP="005D645B">
            <w:pPr>
              <w:rPr>
                <w:sz w:val="20"/>
                <w:szCs w:val="20"/>
              </w:rPr>
            </w:pPr>
            <w:r>
              <w:rPr>
                <w:sz w:val="20"/>
                <w:szCs w:val="20"/>
              </w:rPr>
              <w:t>Băuturi reci sau calde: produse cum ar fi cafea, ceai, ciocolată caldă, băuturi energizante, etc și care are un termen de valabilitate de minim 24 luni</w:t>
            </w:r>
            <w:r w:rsidR="008835A3">
              <w:rPr>
                <w:sz w:val="20"/>
                <w:szCs w:val="20"/>
              </w:rPr>
              <w:t xml:space="preserve"> de la data livrării</w:t>
            </w:r>
            <w:r>
              <w:rPr>
                <w:sz w:val="20"/>
                <w:szCs w:val="20"/>
              </w:rPr>
              <w:t>. Produsele cafea sau derivate din cafea, ceai, băuturi energizante se prepară cu apă rece</w:t>
            </w:r>
            <w:r w:rsidR="008835A3">
              <w:rPr>
                <w:sz w:val="20"/>
                <w:szCs w:val="20"/>
              </w:rPr>
              <w:t xml:space="preserve"> sau cu apă caldă</w:t>
            </w:r>
            <w:r>
              <w:rPr>
                <w:sz w:val="20"/>
                <w:szCs w:val="20"/>
              </w:rPr>
              <w:t xml:space="preserve">. Termenul de valabilitate este de minim 24 de luni de la data livrării. </w:t>
            </w:r>
          </w:p>
          <w:p w:rsidR="008835A3" w:rsidRDefault="008835A3" w:rsidP="005D645B">
            <w:pPr>
              <w:rPr>
                <w:sz w:val="20"/>
                <w:szCs w:val="20"/>
              </w:rPr>
            </w:pPr>
            <w:r>
              <w:rPr>
                <w:sz w:val="20"/>
                <w:szCs w:val="20"/>
              </w:rPr>
              <w:t xml:space="preserve">În situația preparării direct cu apă caldă trebuie să se asigureun ambalaj special pentru încălzirea apei, cu posibilitatea încălzirii apei cu aceeași sursă de încălzire utilizată pentru încălzirea felului principal. Dacă băuturile calde se prepară direct în ambalajul lor prin adăugarea apei reci peste conținut, atunci trebuie să prezinte posibilitatea încălzirii cu aceeași sursă de încălzire a felului principal MRE. În ambele cazuri, băuturile trebuie să asigure posibilitatea servirii din ambalajul original. </w:t>
            </w:r>
          </w:p>
          <w:p w:rsidR="00636B56" w:rsidRPr="00E74DCB" w:rsidRDefault="00636B56" w:rsidP="005D645B">
            <w:pPr>
              <w:rPr>
                <w:sz w:val="20"/>
                <w:szCs w:val="20"/>
              </w:rPr>
            </w:pPr>
            <w:r>
              <w:rPr>
                <w:sz w:val="20"/>
                <w:szCs w:val="20"/>
              </w:rPr>
              <w:t xml:space="preserve"> </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Default="008835A3" w:rsidP="008835A3">
            <w:pPr>
              <w:rPr>
                <w:sz w:val="20"/>
                <w:szCs w:val="20"/>
              </w:rPr>
            </w:pPr>
            <w:r w:rsidRPr="008835A3">
              <w:rPr>
                <w:b/>
                <w:sz w:val="20"/>
                <w:szCs w:val="20"/>
              </w:rPr>
              <w:t>Gustări</w:t>
            </w:r>
            <w:r>
              <w:rPr>
                <w:sz w:val="20"/>
                <w:szCs w:val="20"/>
              </w:rPr>
              <w:t xml:space="preserve">: </w:t>
            </w:r>
            <w:r w:rsidR="00636B56" w:rsidRPr="00013260">
              <w:rPr>
                <w:sz w:val="20"/>
                <w:szCs w:val="20"/>
              </w:rPr>
              <w:t>Produse cum ar fi</w:t>
            </w:r>
            <w:r>
              <w:rPr>
                <w:sz w:val="20"/>
                <w:szCs w:val="20"/>
              </w:rPr>
              <w:t xml:space="preserve"> cereale, batoane energizante,</w:t>
            </w:r>
            <w:r w:rsidR="00636B56" w:rsidRPr="00013260">
              <w:rPr>
                <w:sz w:val="20"/>
                <w:szCs w:val="20"/>
              </w:rPr>
              <w:t xml:space="preserve"> carne uscată, nuci, pișcoturi, arahide etc și care au un termen de valabilitate de </w:t>
            </w:r>
            <w:r w:rsidR="00636B56">
              <w:rPr>
                <w:sz w:val="20"/>
                <w:szCs w:val="20"/>
              </w:rPr>
              <w:t xml:space="preserve"> minim </w:t>
            </w:r>
            <w:r w:rsidR="00636B56" w:rsidRPr="00013260">
              <w:rPr>
                <w:sz w:val="20"/>
                <w:szCs w:val="20"/>
              </w:rPr>
              <w:t>24 luni.</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8835A3" w:rsidRPr="0011170D" w:rsidTr="008835A3">
        <w:trPr>
          <w:trHeight w:val="658"/>
        </w:trPr>
        <w:tc>
          <w:tcPr>
            <w:tcW w:w="1168" w:type="dxa"/>
            <w:vMerge/>
            <w:vAlign w:val="center"/>
          </w:tcPr>
          <w:p w:rsidR="008835A3" w:rsidRDefault="008835A3" w:rsidP="005D645B">
            <w:pPr>
              <w:rPr>
                <w:b/>
              </w:rPr>
            </w:pPr>
          </w:p>
        </w:tc>
        <w:tc>
          <w:tcPr>
            <w:tcW w:w="5490" w:type="dxa"/>
            <w:vAlign w:val="center"/>
          </w:tcPr>
          <w:p w:rsidR="008835A3" w:rsidRDefault="008835A3" w:rsidP="009802FE">
            <w:pPr>
              <w:rPr>
                <w:sz w:val="20"/>
                <w:szCs w:val="20"/>
              </w:rPr>
            </w:pPr>
            <w:r>
              <w:rPr>
                <w:sz w:val="20"/>
                <w:szCs w:val="20"/>
              </w:rPr>
              <w:t>Dulciuri: Produse cu ar fi</w:t>
            </w:r>
            <w:r w:rsidRPr="00013260">
              <w:rPr>
                <w:sz w:val="20"/>
                <w:szCs w:val="20"/>
              </w:rPr>
              <w:t xml:space="preserve"> ciocolată, caramel</w:t>
            </w:r>
            <w:r>
              <w:rPr>
                <w:sz w:val="20"/>
                <w:szCs w:val="20"/>
              </w:rPr>
              <w:t xml:space="preserve">, prăjituri, etc </w:t>
            </w:r>
            <w:r w:rsidRPr="00013260">
              <w:rPr>
                <w:sz w:val="20"/>
                <w:szCs w:val="20"/>
              </w:rPr>
              <w:t xml:space="preserve">și care au un termen de valabilitate de </w:t>
            </w:r>
            <w:r>
              <w:rPr>
                <w:sz w:val="20"/>
                <w:szCs w:val="20"/>
              </w:rPr>
              <w:t xml:space="preserve"> minim </w:t>
            </w:r>
            <w:r w:rsidRPr="00013260">
              <w:rPr>
                <w:sz w:val="20"/>
                <w:szCs w:val="20"/>
              </w:rPr>
              <w:t>24 luni.</w:t>
            </w:r>
          </w:p>
        </w:tc>
        <w:tc>
          <w:tcPr>
            <w:tcW w:w="2306" w:type="dxa"/>
            <w:vAlign w:val="center"/>
          </w:tcPr>
          <w:p w:rsidR="008835A3" w:rsidRPr="0011170D" w:rsidRDefault="008835A3" w:rsidP="005D645B">
            <w:pPr>
              <w:jc w:val="center"/>
            </w:pPr>
          </w:p>
        </w:tc>
        <w:tc>
          <w:tcPr>
            <w:tcW w:w="1325" w:type="dxa"/>
          </w:tcPr>
          <w:p w:rsidR="008835A3" w:rsidRPr="0011170D" w:rsidRDefault="008835A3"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Default="008835A3" w:rsidP="009802FE">
            <w:pPr>
              <w:rPr>
                <w:sz w:val="20"/>
                <w:szCs w:val="20"/>
              </w:rPr>
            </w:pPr>
            <w:r>
              <w:rPr>
                <w:sz w:val="20"/>
                <w:szCs w:val="20"/>
              </w:rPr>
              <w:t>Produse alimentare</w:t>
            </w:r>
            <w:r w:rsidR="00636B56" w:rsidRPr="00013260">
              <w:rPr>
                <w:sz w:val="20"/>
                <w:szCs w:val="20"/>
              </w:rPr>
              <w:t xml:space="preserve"> tartinabile: Produse cum ar fi brânză topită, unt de arahide, miere, gem de fructe/dulceață etc și care au un termen de valabilitate de </w:t>
            </w:r>
            <w:r w:rsidR="00636B56">
              <w:rPr>
                <w:sz w:val="20"/>
                <w:szCs w:val="20"/>
              </w:rPr>
              <w:t xml:space="preserve">minim </w:t>
            </w:r>
            <w:r w:rsidR="00636B56" w:rsidRPr="00013260">
              <w:rPr>
                <w:sz w:val="20"/>
                <w:szCs w:val="20"/>
              </w:rPr>
              <w:t>24 de luni.</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8835A3" w:rsidRPr="0011170D" w:rsidTr="00636B56">
        <w:tc>
          <w:tcPr>
            <w:tcW w:w="1168" w:type="dxa"/>
            <w:vMerge/>
            <w:vAlign w:val="center"/>
          </w:tcPr>
          <w:p w:rsidR="008835A3" w:rsidRDefault="008835A3" w:rsidP="005D645B">
            <w:pPr>
              <w:rPr>
                <w:b/>
              </w:rPr>
            </w:pPr>
          </w:p>
        </w:tc>
        <w:tc>
          <w:tcPr>
            <w:tcW w:w="5490" w:type="dxa"/>
            <w:vAlign w:val="center"/>
          </w:tcPr>
          <w:p w:rsidR="008835A3" w:rsidRDefault="008835A3" w:rsidP="009802FE">
            <w:pPr>
              <w:rPr>
                <w:sz w:val="20"/>
                <w:szCs w:val="20"/>
              </w:rPr>
            </w:pPr>
            <w:r>
              <w:rPr>
                <w:sz w:val="20"/>
                <w:szCs w:val="20"/>
              </w:rPr>
              <w:t xml:space="preserve">Produsele alimentare care se consumă după o prealabilă rehidratare trebuie să utilizeze apă rece </w:t>
            </w:r>
            <w:r w:rsidR="009706BA">
              <w:rPr>
                <w:sz w:val="20"/>
                <w:szCs w:val="20"/>
              </w:rPr>
              <w:t xml:space="preserve">pentru prepararea lor sau asigurarea posibilității încălzirii apei cu aceeași sursă de încălzire a felului principal. </w:t>
            </w:r>
          </w:p>
        </w:tc>
        <w:tc>
          <w:tcPr>
            <w:tcW w:w="2306" w:type="dxa"/>
            <w:vAlign w:val="center"/>
          </w:tcPr>
          <w:p w:rsidR="008835A3" w:rsidRPr="0011170D" w:rsidRDefault="008835A3" w:rsidP="005D645B">
            <w:pPr>
              <w:jc w:val="center"/>
            </w:pPr>
          </w:p>
        </w:tc>
        <w:tc>
          <w:tcPr>
            <w:tcW w:w="1325" w:type="dxa"/>
          </w:tcPr>
          <w:p w:rsidR="008835A3" w:rsidRPr="0011170D" w:rsidRDefault="008835A3"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Pr="00013260" w:rsidRDefault="00636B56" w:rsidP="009802FE">
            <w:pPr>
              <w:rPr>
                <w:sz w:val="20"/>
                <w:szCs w:val="20"/>
              </w:rPr>
            </w:pPr>
            <w:r w:rsidRPr="00013260">
              <w:rPr>
                <w:sz w:val="20"/>
                <w:szCs w:val="20"/>
              </w:rPr>
              <w:t xml:space="preserve">Materiale pentru servirea hranei și colectarea deșeurilor- rația individuală de luptă conține trei pachete cu materiale pentru servirea hranei și colectarea deșeurilor, cu următoarea componență: lingură de unică folosință, pahar de unică folosință cu volum de 200ml, șervețel uscat, șervețel umed, scobitori, sac menajer a 10 litri, sare iodată, </w:t>
            </w:r>
            <w:r w:rsidR="009706BA">
              <w:rPr>
                <w:sz w:val="20"/>
                <w:szCs w:val="20"/>
              </w:rPr>
              <w:t>piper</w:t>
            </w:r>
            <w:r>
              <w:rPr>
                <w:sz w:val="20"/>
                <w:szCs w:val="20"/>
              </w:rPr>
              <w:t>, gumă de mestecat, drajeuri</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Pr="00013260" w:rsidRDefault="00636B56" w:rsidP="009706BA">
            <w:pPr>
              <w:rPr>
                <w:sz w:val="20"/>
                <w:szCs w:val="20"/>
              </w:rPr>
            </w:pPr>
            <w:r w:rsidRPr="00013260">
              <w:rPr>
                <w:sz w:val="20"/>
                <w:szCs w:val="20"/>
              </w:rPr>
              <w:t xml:space="preserve">Lingura </w:t>
            </w:r>
            <w:r w:rsidR="009706BA">
              <w:rPr>
                <w:sz w:val="20"/>
                <w:szCs w:val="20"/>
              </w:rPr>
              <w:t>de unică folosință realizată dintr-un material care respectă prevederile OG 6/2021, cu lungime de 170-210 mm</w:t>
            </w:r>
            <w:r w:rsidRPr="00013260">
              <w:rPr>
                <w:sz w:val="20"/>
                <w:szCs w:val="20"/>
              </w:rPr>
              <w:t>;</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5D645B">
            <w:pPr>
              <w:rPr>
                <w:b/>
              </w:rPr>
            </w:pPr>
          </w:p>
        </w:tc>
        <w:tc>
          <w:tcPr>
            <w:tcW w:w="5490" w:type="dxa"/>
            <w:vAlign w:val="center"/>
          </w:tcPr>
          <w:p w:rsidR="00636B56" w:rsidRPr="00013260" w:rsidRDefault="00636B56" w:rsidP="009706BA">
            <w:pPr>
              <w:rPr>
                <w:sz w:val="20"/>
                <w:szCs w:val="20"/>
              </w:rPr>
            </w:pPr>
            <w:r w:rsidRPr="00AD4567">
              <w:rPr>
                <w:sz w:val="20"/>
                <w:szCs w:val="20"/>
              </w:rPr>
              <w:t>Paharul din carton are formă conică (trunchi de con), cu volum de 200 ml; În cazul în care băuturile pot fi preparate și consumate în ambalajul lor, paharul nu este necesar, dar se va adăuga pai de băut, ambalat individual, cu o lungime compatibilă cu cea a ambalajului pentru ușurința consumului.</w:t>
            </w:r>
          </w:p>
        </w:tc>
        <w:tc>
          <w:tcPr>
            <w:tcW w:w="2306" w:type="dxa"/>
            <w:vAlign w:val="center"/>
          </w:tcPr>
          <w:p w:rsidR="00636B56" w:rsidRPr="0011170D" w:rsidRDefault="00636B56" w:rsidP="005D645B">
            <w:pPr>
              <w:jc w:val="center"/>
            </w:pPr>
          </w:p>
        </w:tc>
        <w:tc>
          <w:tcPr>
            <w:tcW w:w="1325" w:type="dxa"/>
          </w:tcPr>
          <w:p w:rsidR="00636B56" w:rsidRPr="0011170D" w:rsidRDefault="00636B56" w:rsidP="005D645B"/>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AD4567" w:rsidRDefault="00636B56" w:rsidP="009802FE">
            <w:pPr>
              <w:pStyle w:val="Heading1"/>
              <w:keepNext w:val="0"/>
              <w:widowControl w:val="0"/>
              <w:spacing w:before="0" w:after="0" w:line="276" w:lineRule="auto"/>
              <w:jc w:val="both"/>
              <w:rPr>
                <w:rFonts w:ascii="Times New Roman" w:hAnsi="Times New Roman"/>
                <w:b w:val="0"/>
                <w:sz w:val="22"/>
                <w:szCs w:val="22"/>
              </w:rPr>
            </w:pPr>
            <w:r w:rsidRPr="00AD4567">
              <w:rPr>
                <w:rFonts w:ascii="Times New Roman" w:hAnsi="Times New Roman"/>
                <w:b w:val="0"/>
                <w:sz w:val="20"/>
                <w:szCs w:val="20"/>
              </w:rPr>
              <w:t>Șervețelu</w:t>
            </w:r>
            <w:r>
              <w:rPr>
                <w:rFonts w:ascii="Times New Roman" w:hAnsi="Times New Roman"/>
                <w:b w:val="0"/>
                <w:sz w:val="20"/>
                <w:szCs w:val="20"/>
              </w:rPr>
              <w:t>l uscat este ambalat individual</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AD4567" w:rsidRDefault="00636B56" w:rsidP="009802FE">
            <w:pPr>
              <w:pStyle w:val="Heading1"/>
              <w:keepNext w:val="0"/>
              <w:widowControl w:val="0"/>
              <w:spacing w:before="0" w:after="0" w:line="276" w:lineRule="auto"/>
              <w:jc w:val="both"/>
              <w:rPr>
                <w:rFonts w:ascii="Times New Roman" w:hAnsi="Times New Roman"/>
                <w:b w:val="0"/>
                <w:sz w:val="22"/>
                <w:szCs w:val="22"/>
              </w:rPr>
            </w:pPr>
            <w:r w:rsidRPr="00AD4567">
              <w:rPr>
                <w:rFonts w:ascii="Times New Roman" w:hAnsi="Times New Roman"/>
                <w:b w:val="0"/>
                <w:sz w:val="20"/>
                <w:szCs w:val="20"/>
              </w:rPr>
              <w:t>Șervețelul umed este obținut dintr-un amestec de poliester, cu fibre de vâscoză, impregnate cu amestec hidroalcoolic și este ambalat individual;</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AD4567" w:rsidRDefault="00636B56" w:rsidP="009802FE">
            <w:pPr>
              <w:pStyle w:val="Heading1"/>
              <w:keepNext w:val="0"/>
              <w:widowControl w:val="0"/>
              <w:spacing w:before="0" w:after="0" w:line="276" w:lineRule="auto"/>
              <w:jc w:val="both"/>
              <w:rPr>
                <w:rFonts w:ascii="Times New Roman" w:hAnsi="Times New Roman"/>
                <w:b w:val="0"/>
                <w:sz w:val="22"/>
                <w:szCs w:val="22"/>
              </w:rPr>
            </w:pPr>
            <w:r w:rsidRPr="00AD4567">
              <w:rPr>
                <w:rFonts w:ascii="Times New Roman" w:hAnsi="Times New Roman"/>
                <w:b w:val="0"/>
                <w:sz w:val="20"/>
                <w:szCs w:val="20"/>
              </w:rPr>
              <w:t>Scobitoarea este ambalată individual;</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AD4567" w:rsidRDefault="00636B56" w:rsidP="009802FE">
            <w:pPr>
              <w:pStyle w:val="ListParagraph"/>
              <w:tabs>
                <w:tab w:val="left" w:pos="181"/>
              </w:tabs>
              <w:spacing w:after="0" w:line="240" w:lineRule="auto"/>
              <w:ind w:left="0"/>
              <w:jc w:val="both"/>
              <w:rPr>
                <w:rFonts w:ascii="Times New Roman" w:hAnsi="Times New Roman"/>
                <w:sz w:val="20"/>
                <w:szCs w:val="20"/>
              </w:rPr>
            </w:pPr>
            <w:r>
              <w:rPr>
                <w:rFonts w:ascii="Times New Roman" w:hAnsi="Times New Roman"/>
                <w:sz w:val="20"/>
                <w:szCs w:val="20"/>
              </w:rPr>
              <w:t>Sac pentru colectarea deșeului menajer  a 10 litri</w:t>
            </w:r>
            <w:r w:rsidR="009706BA">
              <w:rPr>
                <w:rFonts w:ascii="Times New Roman" w:hAnsi="Times New Roman"/>
                <w:sz w:val="20"/>
                <w:szCs w:val="20"/>
              </w:rPr>
              <w:t>, cu grosimea foliei de minim 40 microni.</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AD4567" w:rsidRDefault="00636B56" w:rsidP="009706BA">
            <w:pPr>
              <w:pStyle w:val="ListParagraph"/>
              <w:tabs>
                <w:tab w:val="left" w:pos="181"/>
              </w:tabs>
              <w:spacing w:after="0" w:line="240" w:lineRule="auto"/>
              <w:ind w:left="0"/>
              <w:jc w:val="both"/>
              <w:rPr>
                <w:rFonts w:ascii="Times New Roman" w:hAnsi="Times New Roman"/>
                <w:sz w:val="20"/>
                <w:szCs w:val="20"/>
              </w:rPr>
            </w:pPr>
            <w:r>
              <w:rPr>
                <w:rFonts w:ascii="Times New Roman" w:hAnsi="Times New Roman"/>
                <w:sz w:val="20"/>
                <w:szCs w:val="20"/>
              </w:rPr>
              <w:t>Sarea trebuie</w:t>
            </w:r>
            <w:r w:rsidR="009706BA">
              <w:rPr>
                <w:rFonts w:ascii="Times New Roman" w:hAnsi="Times New Roman"/>
                <w:sz w:val="20"/>
                <w:szCs w:val="20"/>
              </w:rPr>
              <w:t xml:space="preserve"> ambalată în plicuri de hârtie</w:t>
            </w:r>
            <w:r>
              <w:rPr>
                <w:rFonts w:ascii="Times New Roman" w:hAnsi="Times New Roman"/>
                <w:sz w:val="20"/>
                <w:szCs w:val="20"/>
              </w:rPr>
              <w:t>, care asigură integritatea produsului;</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E84A1D" w:rsidRDefault="00636B56" w:rsidP="009802FE">
            <w:pPr>
              <w:pStyle w:val="ListParagraph"/>
              <w:tabs>
                <w:tab w:val="left" w:pos="181"/>
              </w:tabs>
              <w:spacing w:after="0" w:line="240" w:lineRule="auto"/>
              <w:ind w:left="0"/>
              <w:jc w:val="both"/>
              <w:rPr>
                <w:rFonts w:ascii="Times New Roman" w:hAnsi="Times New Roman"/>
                <w:sz w:val="20"/>
                <w:szCs w:val="20"/>
              </w:rPr>
            </w:pPr>
            <w:r>
              <w:rPr>
                <w:rFonts w:ascii="Times New Roman" w:hAnsi="Times New Roman"/>
                <w:sz w:val="20"/>
                <w:szCs w:val="20"/>
              </w:rPr>
              <w:t>Piperul măcinat este obținut prin măcinarea separată a boabelor de piper negru, fără nici un adaos de alte substanțe, fără a fi supus operației de iradiere;</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9706BA" w:rsidRPr="0011170D" w:rsidTr="00636B56">
        <w:tc>
          <w:tcPr>
            <w:tcW w:w="1168" w:type="dxa"/>
            <w:vMerge/>
            <w:vAlign w:val="center"/>
          </w:tcPr>
          <w:p w:rsidR="009706BA" w:rsidRDefault="009706BA" w:rsidP="009802FE">
            <w:pPr>
              <w:rPr>
                <w:b/>
              </w:rPr>
            </w:pPr>
          </w:p>
        </w:tc>
        <w:tc>
          <w:tcPr>
            <w:tcW w:w="5490" w:type="dxa"/>
            <w:vAlign w:val="center"/>
          </w:tcPr>
          <w:p w:rsidR="009706BA" w:rsidRDefault="009706BA" w:rsidP="009802FE">
            <w:pPr>
              <w:pStyle w:val="ListParagraph"/>
              <w:tabs>
                <w:tab w:val="left" w:pos="181"/>
              </w:tabs>
              <w:spacing w:after="0" w:line="240" w:lineRule="auto"/>
              <w:ind w:left="0"/>
              <w:jc w:val="both"/>
              <w:rPr>
                <w:rFonts w:ascii="Times New Roman" w:hAnsi="Times New Roman"/>
                <w:sz w:val="20"/>
                <w:szCs w:val="20"/>
              </w:rPr>
            </w:pPr>
            <w:r>
              <w:rPr>
                <w:rFonts w:ascii="Times New Roman" w:hAnsi="Times New Roman"/>
                <w:sz w:val="20"/>
                <w:szCs w:val="20"/>
              </w:rPr>
              <w:t xml:space="preserve">Produsul gumă de mestecat este obținut prin prelucrarea bazei de gumă, cu îndulcitori (xilitol, sorbitol, aspartan), agent de îngroșare (gumă arabică), agent de umezire (glicerol) arome.Drajeurile trebuie să fie de formă regulată, lucioase, nelipicioase, cu gust plăcut, specific aromei înglobate. </w:t>
            </w:r>
          </w:p>
        </w:tc>
        <w:tc>
          <w:tcPr>
            <w:tcW w:w="2306" w:type="dxa"/>
            <w:vAlign w:val="center"/>
          </w:tcPr>
          <w:p w:rsidR="009706BA" w:rsidRPr="0011170D" w:rsidRDefault="009706BA" w:rsidP="009802FE">
            <w:pPr>
              <w:jc w:val="center"/>
            </w:pPr>
          </w:p>
        </w:tc>
        <w:tc>
          <w:tcPr>
            <w:tcW w:w="1325" w:type="dxa"/>
          </w:tcPr>
          <w:p w:rsidR="009706BA" w:rsidRPr="0011170D" w:rsidRDefault="009706BA"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Pr="00976852" w:rsidRDefault="00636B56" w:rsidP="009802FE">
            <w:pPr>
              <w:pStyle w:val="Heading1"/>
              <w:keepNext w:val="0"/>
              <w:widowControl w:val="0"/>
              <w:spacing w:before="0" w:after="0" w:line="276" w:lineRule="auto"/>
              <w:rPr>
                <w:rFonts w:ascii="Times New Roman" w:hAnsi="Times New Roman" w:cs="Times New Roman"/>
                <w:b w:val="0"/>
                <w:sz w:val="20"/>
                <w:szCs w:val="20"/>
              </w:rPr>
            </w:pPr>
            <w:r w:rsidRPr="00976852">
              <w:rPr>
                <w:rFonts w:ascii="Times New Roman" w:hAnsi="Times New Roman" w:cs="Times New Roman"/>
                <w:b w:val="0"/>
                <w:sz w:val="20"/>
                <w:szCs w:val="20"/>
              </w:rPr>
              <w:t xml:space="preserve">Pachetul cu materiale pentru servirea hranei și colectarea deșeurilor </w:t>
            </w:r>
            <w:r w:rsidR="009706BA" w:rsidRPr="00976852">
              <w:rPr>
                <w:rFonts w:ascii="Times New Roman" w:hAnsi="Times New Roman" w:cs="Times New Roman"/>
                <w:b w:val="0"/>
                <w:sz w:val="20"/>
                <w:szCs w:val="20"/>
              </w:rPr>
              <w:t xml:space="preserve">reprezintă un pachet unitar </w:t>
            </w:r>
            <w:r w:rsidR="00976852" w:rsidRPr="00976852">
              <w:rPr>
                <w:rFonts w:ascii="Times New Roman" w:hAnsi="Times New Roman" w:cs="Times New Roman"/>
                <w:b w:val="0"/>
                <w:sz w:val="20"/>
                <w:szCs w:val="20"/>
              </w:rPr>
              <w:t xml:space="preserve">de mărime redusă și volum mic, dintr-un ambalaj care respectă prevederile OG 6/2021. </w:t>
            </w:r>
          </w:p>
          <w:p w:rsidR="00976852" w:rsidRPr="00976852" w:rsidRDefault="00976852" w:rsidP="00976852">
            <w:pPr>
              <w:rPr>
                <w:sz w:val="20"/>
                <w:szCs w:val="20"/>
                <w:lang w:eastAsia="ro-RO"/>
              </w:rPr>
            </w:pPr>
            <w:r w:rsidRPr="00976852">
              <w:rPr>
                <w:sz w:val="20"/>
                <w:szCs w:val="20"/>
                <w:lang w:eastAsia="ro-RO"/>
              </w:rPr>
              <w:t xml:space="preserve">Pachetul se constituie astfel: </w:t>
            </w:r>
          </w:p>
          <w:p w:rsidR="00976852" w:rsidRPr="00976852" w:rsidRDefault="00976852" w:rsidP="00976852">
            <w:pPr>
              <w:pStyle w:val="ListParagraph"/>
              <w:numPr>
                <w:ilvl w:val="0"/>
                <w:numId w:val="2"/>
              </w:numPr>
              <w:rPr>
                <w:rFonts w:ascii="Times New Roman" w:hAnsi="Times New Roman"/>
                <w:sz w:val="20"/>
                <w:szCs w:val="20"/>
                <w:lang w:eastAsia="ro-RO"/>
              </w:rPr>
            </w:pPr>
            <w:r w:rsidRPr="00976852">
              <w:rPr>
                <w:rFonts w:ascii="Times New Roman" w:hAnsi="Times New Roman"/>
                <w:sz w:val="20"/>
                <w:szCs w:val="20"/>
                <w:lang w:eastAsia="ro-RO"/>
              </w:rPr>
              <w:t>Lingură</w:t>
            </w:r>
          </w:p>
          <w:p w:rsidR="00976852" w:rsidRPr="00976852" w:rsidRDefault="00976852" w:rsidP="00976852">
            <w:pPr>
              <w:pStyle w:val="ListParagraph"/>
              <w:numPr>
                <w:ilvl w:val="0"/>
                <w:numId w:val="2"/>
              </w:numPr>
              <w:rPr>
                <w:rFonts w:ascii="Times New Roman" w:hAnsi="Times New Roman"/>
                <w:sz w:val="20"/>
                <w:szCs w:val="20"/>
                <w:lang w:eastAsia="ro-RO"/>
              </w:rPr>
            </w:pPr>
            <w:r w:rsidRPr="00976852">
              <w:rPr>
                <w:rFonts w:ascii="Times New Roman" w:hAnsi="Times New Roman"/>
                <w:sz w:val="20"/>
                <w:szCs w:val="20"/>
                <w:lang w:eastAsia="ro-RO"/>
              </w:rPr>
              <w:t xml:space="preserve">Pahar (în interiorul căruia se introduc plicurile de sare, piper, guma de mestecat, șervetel uscat, servete umed, </w:t>
            </w:r>
            <w:r w:rsidRPr="00976852">
              <w:rPr>
                <w:rFonts w:ascii="Times New Roman" w:hAnsi="Times New Roman"/>
                <w:sz w:val="20"/>
                <w:szCs w:val="20"/>
                <w:lang w:eastAsia="ro-RO"/>
              </w:rPr>
              <w:lastRenderedPageBreak/>
              <w:t>scobitoarea, sacul pentru gunoi)</w:t>
            </w:r>
          </w:p>
          <w:p w:rsidR="00636B56" w:rsidRPr="00721998" w:rsidRDefault="00636B56" w:rsidP="009802FE">
            <w:pPr>
              <w:pStyle w:val="ListParagraph"/>
              <w:tabs>
                <w:tab w:val="left" w:pos="181"/>
              </w:tabs>
              <w:spacing w:after="0" w:line="240" w:lineRule="auto"/>
              <w:ind w:left="0"/>
              <w:jc w:val="both"/>
              <w:rPr>
                <w:rFonts w:ascii="Times New Roman" w:hAnsi="Times New Roman"/>
                <w:sz w:val="20"/>
                <w:szCs w:val="20"/>
              </w:rPr>
            </w:pPr>
            <w:r w:rsidRPr="00E84A1D">
              <w:rPr>
                <w:rFonts w:ascii="Times New Roman" w:hAnsi="Times New Roman"/>
                <w:sz w:val="20"/>
                <w:szCs w:val="20"/>
              </w:rPr>
              <w:t xml:space="preserve">Pentru cazul în care nu este necesar paharul, componentele enumerate mai </w:t>
            </w:r>
            <w:r w:rsidR="00976852">
              <w:rPr>
                <w:rFonts w:ascii="Times New Roman" w:hAnsi="Times New Roman"/>
                <w:sz w:val="20"/>
                <w:szCs w:val="20"/>
              </w:rPr>
              <w:t>sus sunt împachetate cu lingura</w:t>
            </w:r>
            <w:r w:rsidRPr="00E84A1D">
              <w:rPr>
                <w:rFonts w:ascii="Times New Roman" w:hAnsi="Times New Roman"/>
                <w:sz w:val="20"/>
                <w:szCs w:val="20"/>
              </w:rPr>
              <w:t>.</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636B56" w:rsidRPr="0011170D" w:rsidTr="00636B56">
        <w:tc>
          <w:tcPr>
            <w:tcW w:w="1168" w:type="dxa"/>
            <w:vMerge/>
            <w:vAlign w:val="center"/>
          </w:tcPr>
          <w:p w:rsidR="00636B56" w:rsidRDefault="00636B56" w:rsidP="009802FE">
            <w:pPr>
              <w:rPr>
                <w:b/>
              </w:rPr>
            </w:pPr>
          </w:p>
        </w:tc>
        <w:tc>
          <w:tcPr>
            <w:tcW w:w="5490" w:type="dxa"/>
            <w:vAlign w:val="center"/>
          </w:tcPr>
          <w:p w:rsidR="00636B56" w:rsidRDefault="00636B56" w:rsidP="00BF7A44">
            <w:pPr>
              <w:pStyle w:val="Heading1"/>
              <w:keepNext w:val="0"/>
              <w:widowControl w:val="0"/>
              <w:spacing w:before="0" w:after="0"/>
              <w:rPr>
                <w:rFonts w:ascii="Times New Roman" w:hAnsi="Times New Roman"/>
                <w:sz w:val="20"/>
                <w:szCs w:val="20"/>
              </w:rPr>
            </w:pPr>
            <w:r>
              <w:rPr>
                <w:rFonts w:ascii="Times New Roman" w:hAnsi="Times New Roman"/>
                <w:sz w:val="20"/>
                <w:szCs w:val="20"/>
              </w:rPr>
              <w:t>Surse de încălzire</w:t>
            </w:r>
          </w:p>
          <w:p w:rsidR="00636B56" w:rsidRDefault="00636B56" w:rsidP="00BF7A44">
            <w:pPr>
              <w:tabs>
                <w:tab w:val="left" w:pos="181"/>
              </w:tabs>
              <w:rPr>
                <w:sz w:val="20"/>
                <w:szCs w:val="20"/>
              </w:rPr>
            </w:pPr>
            <w:r>
              <w:rPr>
                <w:sz w:val="20"/>
                <w:szCs w:val="20"/>
              </w:rPr>
              <w:t>Sursa de încălzire trebuie să fie fără flacără, utilizând o reacție chimică exotermă, fiind potrivită pentru a asigura încălzirea felului principal de mâncare, și dacă este posibil, a băuturilor calde din cadrul fiecărei mese;</w:t>
            </w:r>
          </w:p>
          <w:p w:rsidR="00636B56" w:rsidRDefault="00636B56" w:rsidP="00BF7A44">
            <w:pPr>
              <w:tabs>
                <w:tab w:val="left" w:pos="181"/>
              </w:tabs>
              <w:rPr>
                <w:sz w:val="20"/>
                <w:szCs w:val="20"/>
              </w:rPr>
            </w:pPr>
            <w:r>
              <w:rPr>
                <w:sz w:val="20"/>
                <w:szCs w:val="20"/>
              </w:rPr>
              <w:t xml:space="preserve">Rația individuală de luptă conține 4 surse de încălzire fără flacără, ambalate, astfel: </w:t>
            </w:r>
          </w:p>
          <w:p w:rsidR="00636B56" w:rsidRDefault="00636B56" w:rsidP="00BF7A44">
            <w:pPr>
              <w:pStyle w:val="ListParagraph"/>
              <w:numPr>
                <w:ilvl w:val="0"/>
                <w:numId w:val="2"/>
              </w:numPr>
              <w:tabs>
                <w:tab w:val="left" w:pos="181"/>
              </w:tabs>
              <w:spacing w:after="0" w:line="240" w:lineRule="auto"/>
              <w:jc w:val="both"/>
              <w:rPr>
                <w:rFonts w:ascii="Times New Roman" w:hAnsi="Times New Roman"/>
                <w:sz w:val="20"/>
                <w:szCs w:val="20"/>
              </w:rPr>
            </w:pPr>
            <w:r>
              <w:rPr>
                <w:rFonts w:ascii="Times New Roman" w:hAnsi="Times New Roman"/>
                <w:sz w:val="20"/>
                <w:szCs w:val="20"/>
              </w:rPr>
              <w:t>Cate o sursă de încălzire per pachet pentru ambalaje individuale care grupează componentele alimentare pe mese, mic dejun</w:t>
            </w:r>
            <w:r w:rsidR="00976852">
              <w:rPr>
                <w:rFonts w:ascii="Times New Roman" w:hAnsi="Times New Roman"/>
                <w:sz w:val="20"/>
                <w:szCs w:val="20"/>
              </w:rPr>
              <w:t>, prânz</w:t>
            </w:r>
            <w:r>
              <w:rPr>
                <w:rFonts w:ascii="Times New Roman" w:hAnsi="Times New Roman"/>
                <w:sz w:val="20"/>
                <w:szCs w:val="20"/>
              </w:rPr>
              <w:t xml:space="preserve"> și cină. </w:t>
            </w:r>
          </w:p>
          <w:p w:rsidR="00636B56" w:rsidRDefault="00976852" w:rsidP="00BF7A44">
            <w:pPr>
              <w:pStyle w:val="ListParagraph"/>
              <w:numPr>
                <w:ilvl w:val="0"/>
                <w:numId w:val="2"/>
              </w:numPr>
              <w:tabs>
                <w:tab w:val="left" w:pos="181"/>
              </w:tabs>
              <w:spacing w:after="0" w:line="240" w:lineRule="auto"/>
              <w:jc w:val="both"/>
              <w:rPr>
                <w:rFonts w:ascii="Times New Roman" w:hAnsi="Times New Roman"/>
                <w:sz w:val="20"/>
                <w:szCs w:val="20"/>
              </w:rPr>
            </w:pPr>
            <w:r>
              <w:rPr>
                <w:rFonts w:ascii="Times New Roman" w:hAnsi="Times New Roman"/>
                <w:sz w:val="20"/>
                <w:szCs w:val="20"/>
              </w:rPr>
              <w:t>O sursă va fi destinată ca rezervă</w:t>
            </w:r>
            <w:r w:rsidR="00636B56">
              <w:rPr>
                <w:rFonts w:ascii="Times New Roman" w:hAnsi="Times New Roman"/>
                <w:sz w:val="20"/>
                <w:szCs w:val="20"/>
              </w:rPr>
              <w:t>.</w:t>
            </w:r>
          </w:p>
          <w:p w:rsidR="00636B56" w:rsidRPr="00BF7A44" w:rsidRDefault="00636B56" w:rsidP="00BF7A44">
            <w:pPr>
              <w:rPr>
                <w:lang w:eastAsia="ro-RO"/>
              </w:rPr>
            </w:pPr>
            <w:r>
              <w:rPr>
                <w:sz w:val="20"/>
                <w:szCs w:val="20"/>
              </w:rPr>
              <w:t>Sursele de încălzire trebuie să fie ambalate</w:t>
            </w:r>
            <w:r w:rsidRPr="00721998">
              <w:rPr>
                <w:sz w:val="20"/>
                <w:szCs w:val="20"/>
              </w:rPr>
              <w:t xml:space="preserve"> individual și sunt prevăzute cu instrucțiuni clare de utilizare.</w:t>
            </w:r>
          </w:p>
        </w:tc>
        <w:tc>
          <w:tcPr>
            <w:tcW w:w="2306" w:type="dxa"/>
            <w:vAlign w:val="center"/>
          </w:tcPr>
          <w:p w:rsidR="00636B56" w:rsidRPr="0011170D" w:rsidRDefault="00636B56" w:rsidP="009802FE">
            <w:pPr>
              <w:jc w:val="center"/>
            </w:pPr>
          </w:p>
        </w:tc>
        <w:tc>
          <w:tcPr>
            <w:tcW w:w="1325" w:type="dxa"/>
          </w:tcPr>
          <w:p w:rsidR="00636B56" w:rsidRPr="0011170D" w:rsidRDefault="00636B56" w:rsidP="009802FE"/>
        </w:tc>
      </w:tr>
      <w:tr w:rsidR="00BF7A44" w:rsidRPr="0011170D" w:rsidTr="00636B56">
        <w:tc>
          <w:tcPr>
            <w:tcW w:w="1168" w:type="dxa"/>
            <w:vAlign w:val="center"/>
          </w:tcPr>
          <w:p w:rsidR="00BF7A44" w:rsidRDefault="00BF7A44" w:rsidP="00BF7A44">
            <w:pPr>
              <w:rPr>
                <w:b/>
              </w:rPr>
            </w:pPr>
          </w:p>
        </w:tc>
        <w:tc>
          <w:tcPr>
            <w:tcW w:w="5490" w:type="dxa"/>
            <w:vAlign w:val="center"/>
          </w:tcPr>
          <w:p w:rsidR="00BF7A44" w:rsidRPr="00D82F67" w:rsidRDefault="00BF7A44" w:rsidP="00BF7A44">
            <w:pPr>
              <w:pStyle w:val="Heading1"/>
              <w:keepNext w:val="0"/>
              <w:widowControl w:val="0"/>
              <w:spacing w:before="0" w:after="0" w:line="276" w:lineRule="auto"/>
              <w:rPr>
                <w:rFonts w:ascii="Times New Roman" w:hAnsi="Times New Roman"/>
                <w:sz w:val="20"/>
                <w:szCs w:val="20"/>
              </w:rPr>
            </w:pPr>
            <w:r w:rsidRPr="00D82F67">
              <w:rPr>
                <w:rFonts w:ascii="Times New Roman" w:hAnsi="Times New Roman"/>
                <w:sz w:val="20"/>
                <w:szCs w:val="20"/>
              </w:rPr>
              <w:t>Reguli pentru verificarea calității</w:t>
            </w:r>
          </w:p>
          <w:p w:rsidR="00D82F67" w:rsidRDefault="00BF7A44" w:rsidP="00BF7A44">
            <w:pPr>
              <w:rPr>
                <w:sz w:val="20"/>
                <w:szCs w:val="20"/>
              </w:rPr>
            </w:pPr>
            <w:r w:rsidRPr="00EB7B3C">
              <w:rPr>
                <w:sz w:val="20"/>
                <w:szCs w:val="20"/>
              </w:rPr>
              <w:t>Verificarea calitatii</w:t>
            </w:r>
            <w:r>
              <w:rPr>
                <w:sz w:val="20"/>
                <w:szCs w:val="20"/>
              </w:rPr>
              <w:t xml:space="preserve"> </w:t>
            </w:r>
            <w:r w:rsidR="00D82F67">
              <w:rPr>
                <w:sz w:val="20"/>
                <w:szCs w:val="20"/>
              </w:rPr>
              <w:t xml:space="preserve"> se face pe loturi, în perioada de valabilitate a produsului, când se consideră necesar. La fiecare lot se verifică: </w:t>
            </w:r>
          </w:p>
          <w:p w:rsidR="00BF7A44" w:rsidRDefault="00BF7A44" w:rsidP="00BF7A44">
            <w:pPr>
              <w:rPr>
                <w:sz w:val="20"/>
                <w:szCs w:val="20"/>
              </w:rPr>
            </w:pPr>
            <w:r w:rsidRPr="00EB7B3C">
              <w:rPr>
                <w:sz w:val="20"/>
                <w:szCs w:val="20"/>
              </w:rPr>
              <w:t xml:space="preserve">- ambalarea, </w:t>
            </w:r>
          </w:p>
          <w:p w:rsidR="00BF7A44" w:rsidRDefault="00BF7A44" w:rsidP="00BF7A44">
            <w:pPr>
              <w:rPr>
                <w:sz w:val="20"/>
                <w:szCs w:val="20"/>
              </w:rPr>
            </w:pPr>
            <w:r w:rsidRPr="00EB7B3C">
              <w:rPr>
                <w:sz w:val="20"/>
                <w:szCs w:val="20"/>
              </w:rPr>
              <w:t xml:space="preserve">- marcarea, </w:t>
            </w:r>
          </w:p>
          <w:p w:rsidR="00BF7A44" w:rsidRDefault="00BF7A44" w:rsidP="00BF7A44">
            <w:pPr>
              <w:rPr>
                <w:sz w:val="20"/>
                <w:szCs w:val="20"/>
              </w:rPr>
            </w:pPr>
            <w:r w:rsidRPr="00EB7B3C">
              <w:rPr>
                <w:sz w:val="20"/>
                <w:szCs w:val="20"/>
              </w:rPr>
              <w:t xml:space="preserve">- proprietatile organoleptice, proprietatile fizico-chimice, proprietatile microbiologice conform fiselor tehnice intocmite de catre producator (care contin parametrii organoleptici, fizicochimici si microbiologici) care insotesc </w:t>
            </w:r>
            <w:r>
              <w:rPr>
                <w:sz w:val="20"/>
                <w:szCs w:val="20"/>
              </w:rPr>
              <w:t>produsele alimentare din structura rației de luptă.</w:t>
            </w:r>
          </w:p>
          <w:p w:rsidR="00BF7A44" w:rsidRPr="00D82F67" w:rsidRDefault="00D82F67" w:rsidP="00D82F67">
            <w:pPr>
              <w:rPr>
                <w:sz w:val="20"/>
                <w:szCs w:val="20"/>
              </w:rPr>
            </w:pPr>
            <w:r>
              <w:rPr>
                <w:sz w:val="20"/>
                <w:szCs w:val="20"/>
              </w:rPr>
              <w:t>Furnizorul trebuie să asigure înlocuirea produselor neconformeîn perioada de valabilitateîn termen de maxim 30 de zile de la notificarea beneficiarului</w:t>
            </w:r>
          </w:p>
        </w:tc>
        <w:tc>
          <w:tcPr>
            <w:tcW w:w="2306" w:type="dxa"/>
            <w:vAlign w:val="center"/>
          </w:tcPr>
          <w:p w:rsidR="00BF7A44" w:rsidRPr="0011170D" w:rsidRDefault="00BF7A44" w:rsidP="00BF7A44">
            <w:pPr>
              <w:jc w:val="center"/>
            </w:pPr>
          </w:p>
        </w:tc>
        <w:tc>
          <w:tcPr>
            <w:tcW w:w="1325" w:type="dxa"/>
          </w:tcPr>
          <w:p w:rsidR="00BF7A44" w:rsidRPr="0011170D" w:rsidRDefault="00BF7A44" w:rsidP="00BF7A44"/>
        </w:tc>
      </w:tr>
      <w:tr w:rsidR="00005AB0" w:rsidRPr="0011170D" w:rsidTr="00636B56">
        <w:tc>
          <w:tcPr>
            <w:tcW w:w="1168" w:type="dxa"/>
            <w:vAlign w:val="center"/>
          </w:tcPr>
          <w:p w:rsidR="00005AB0" w:rsidRDefault="00005AB0" w:rsidP="00005AB0">
            <w:pPr>
              <w:rPr>
                <w:b/>
              </w:rPr>
            </w:pPr>
          </w:p>
        </w:tc>
        <w:tc>
          <w:tcPr>
            <w:tcW w:w="5490" w:type="dxa"/>
            <w:vAlign w:val="center"/>
          </w:tcPr>
          <w:p w:rsidR="00005AB0" w:rsidRPr="00D82F67" w:rsidRDefault="00005AB0" w:rsidP="00005AB0">
            <w:pPr>
              <w:pStyle w:val="Heading1"/>
              <w:keepNext w:val="0"/>
              <w:widowControl w:val="0"/>
              <w:spacing w:before="0" w:after="0" w:line="276" w:lineRule="auto"/>
              <w:jc w:val="both"/>
              <w:rPr>
                <w:rFonts w:ascii="Times New Roman" w:hAnsi="Times New Roman" w:cs="Times New Roman"/>
                <w:sz w:val="20"/>
                <w:szCs w:val="20"/>
              </w:rPr>
            </w:pPr>
            <w:r w:rsidRPr="00D82F67">
              <w:rPr>
                <w:rFonts w:ascii="Times New Roman" w:hAnsi="Times New Roman" w:cs="Times New Roman"/>
                <w:sz w:val="20"/>
                <w:szCs w:val="20"/>
              </w:rPr>
              <w:t>Ambalarea</w:t>
            </w:r>
          </w:p>
          <w:p w:rsidR="00FC657D" w:rsidRDefault="00005AB0" w:rsidP="00005AB0">
            <w:pPr>
              <w:rPr>
                <w:sz w:val="20"/>
                <w:szCs w:val="20"/>
              </w:rPr>
            </w:pPr>
            <w:r w:rsidRPr="00EB7B3C">
              <w:rPr>
                <w:sz w:val="20"/>
                <w:szCs w:val="20"/>
              </w:rPr>
              <w:t xml:space="preserve">Ratia individuala de lupta trebuie sa fie impachetata unitar intr-un ambalaj rezistent, opac, termosudat, confectionat dintr-un material a carui grosime asigura protectia, stabilitatea si valabilitatea elementelor componente in conditiile mediului operational, al lantului de aprovizionare si depozitare. Ambalajul final contine trei pachete cu cele trei mese ambalate individual (mic dejun, pranz, cina): componentele alimentare ale mesei impreuna cu pachetul cu "materiale pentru servirea hranei si colectarea deseurilor, sursa de incalzire sunt ambalate unitar, in ambalaje termosudate/zip lock, rezistente la apa si imprimate cu: denumirea meniului (mic dejun, pranz, cina), produsele componente, gramaj, termen de valabilitate etc. </w:t>
            </w:r>
          </w:p>
          <w:p w:rsidR="00005AB0" w:rsidRPr="00771F93" w:rsidRDefault="00005AB0" w:rsidP="00D82F67">
            <w:pPr>
              <w:rPr>
                <w:lang w:eastAsia="ro-RO"/>
              </w:rPr>
            </w:pPr>
            <w:r w:rsidRPr="00EB7B3C">
              <w:rPr>
                <w:sz w:val="20"/>
                <w:szCs w:val="20"/>
              </w:rPr>
              <w:t xml:space="preserve">Ratia individuala de lupta va fi ambalata astfel incat prin </w:t>
            </w:r>
            <w:r>
              <w:rPr>
                <w:sz w:val="20"/>
                <w:szCs w:val="20"/>
              </w:rPr>
              <w:t>compactarea elementelor componet</w:t>
            </w:r>
            <w:r w:rsidRPr="00EB7B3C">
              <w:rPr>
                <w:sz w:val="20"/>
                <w:szCs w:val="20"/>
              </w:rPr>
              <w:t>e sa fie obtinut un volum cat mai redus si sa asigure mentinerea termenului de valabilitate d</w:t>
            </w:r>
            <w:r>
              <w:rPr>
                <w:sz w:val="20"/>
                <w:szCs w:val="20"/>
              </w:rPr>
              <w:t>e minim 24 luni de la data livră</w:t>
            </w:r>
            <w:r w:rsidRPr="00EB7B3C">
              <w:rPr>
                <w:sz w:val="20"/>
                <w:szCs w:val="20"/>
              </w:rPr>
              <w:t xml:space="preserve">rii la o temperatura de depozitare ≤25° C. </w:t>
            </w:r>
            <w:r w:rsidR="00D82F67">
              <w:rPr>
                <w:sz w:val="20"/>
                <w:szCs w:val="20"/>
              </w:rPr>
              <w:t>Greutatea</w:t>
            </w:r>
            <w:r w:rsidRPr="00A53904">
              <w:rPr>
                <w:sz w:val="20"/>
                <w:szCs w:val="20"/>
              </w:rPr>
              <w:t xml:space="preserve"> finala a pachetului cu Ratia individuala de lupta </w:t>
            </w:r>
            <w:r>
              <w:rPr>
                <w:sz w:val="20"/>
                <w:szCs w:val="20"/>
              </w:rPr>
              <w:t xml:space="preserve">trebuie să fie </w:t>
            </w:r>
            <w:r w:rsidRPr="00EB7B3C">
              <w:rPr>
                <w:sz w:val="20"/>
                <w:szCs w:val="20"/>
              </w:rPr>
              <w:t>≤</w:t>
            </w:r>
            <w:r>
              <w:rPr>
                <w:sz w:val="20"/>
                <w:szCs w:val="20"/>
              </w:rPr>
              <w:t xml:space="preserve">3 kg. </w:t>
            </w:r>
            <w:r w:rsidRPr="00EB7B3C">
              <w:rPr>
                <w:sz w:val="20"/>
                <w:szCs w:val="20"/>
              </w:rPr>
              <w:t xml:space="preserve"> </w:t>
            </w:r>
          </w:p>
        </w:tc>
        <w:tc>
          <w:tcPr>
            <w:tcW w:w="2306" w:type="dxa"/>
            <w:vAlign w:val="center"/>
          </w:tcPr>
          <w:p w:rsidR="00005AB0" w:rsidRPr="0011170D" w:rsidRDefault="00005AB0" w:rsidP="00005AB0">
            <w:pPr>
              <w:jc w:val="center"/>
            </w:pPr>
          </w:p>
        </w:tc>
        <w:tc>
          <w:tcPr>
            <w:tcW w:w="1325" w:type="dxa"/>
          </w:tcPr>
          <w:p w:rsidR="00005AB0" w:rsidRPr="0011170D" w:rsidRDefault="00005AB0" w:rsidP="00005AB0"/>
        </w:tc>
      </w:tr>
      <w:tr w:rsidR="00FC657D" w:rsidRPr="0011170D" w:rsidTr="00636B56">
        <w:tc>
          <w:tcPr>
            <w:tcW w:w="1168" w:type="dxa"/>
            <w:vAlign w:val="center"/>
          </w:tcPr>
          <w:p w:rsidR="00FC657D" w:rsidRDefault="00FC657D" w:rsidP="00FC657D">
            <w:pPr>
              <w:rPr>
                <w:b/>
              </w:rPr>
            </w:pPr>
          </w:p>
        </w:tc>
        <w:tc>
          <w:tcPr>
            <w:tcW w:w="5490" w:type="dxa"/>
            <w:vAlign w:val="center"/>
          </w:tcPr>
          <w:p w:rsidR="00FC657D" w:rsidRDefault="00FC657D" w:rsidP="00FC657D">
            <w:pPr>
              <w:pStyle w:val="Heading1"/>
              <w:keepNext w:val="0"/>
              <w:widowControl w:val="0"/>
              <w:spacing w:before="0" w:after="0" w:line="276" w:lineRule="auto"/>
              <w:jc w:val="both"/>
              <w:rPr>
                <w:rFonts w:ascii="Times New Roman" w:hAnsi="Times New Roman" w:cs="Times New Roman"/>
                <w:b w:val="0"/>
                <w:sz w:val="22"/>
                <w:szCs w:val="22"/>
              </w:rPr>
            </w:pPr>
            <w:r>
              <w:rPr>
                <w:rFonts w:ascii="Times New Roman" w:hAnsi="Times New Roman" w:cs="Times New Roman"/>
                <w:b w:val="0"/>
                <w:sz w:val="22"/>
                <w:szCs w:val="22"/>
              </w:rPr>
              <w:t>Marcarea</w:t>
            </w:r>
          </w:p>
          <w:p w:rsidR="00FC657D" w:rsidRDefault="00FC657D" w:rsidP="00FC657D">
            <w:pPr>
              <w:rPr>
                <w:sz w:val="20"/>
                <w:szCs w:val="20"/>
              </w:rPr>
            </w:pPr>
            <w:r w:rsidRPr="009824A7">
              <w:rPr>
                <w:sz w:val="20"/>
                <w:szCs w:val="20"/>
              </w:rPr>
              <w:t xml:space="preserve">Cele trei ambalaje  interioare, care contin componentele grupate pe mese, vor fi inscriptionate cu: denumirea meniului (mic dejun, pranz, cina), produsele componente, greutatea fiecarui produs, materialele pentru servirea hranei si colectarea deseurilor si sursa de incalzire. </w:t>
            </w:r>
          </w:p>
          <w:p w:rsidR="00FC657D" w:rsidRPr="009824A7" w:rsidRDefault="00FC657D" w:rsidP="00FC657D">
            <w:pPr>
              <w:rPr>
                <w:sz w:val="20"/>
                <w:szCs w:val="20"/>
              </w:rPr>
            </w:pPr>
            <w:r w:rsidRPr="009824A7">
              <w:rPr>
                <w:sz w:val="20"/>
                <w:szCs w:val="20"/>
              </w:rPr>
              <w:t xml:space="preserve">Fiecare produs alimentar, parte componenta a ratiei individuale, se marcheaza in conformitate cu legislatia in vigoare, cu minim urmatoarele mentiuni:  - denumirea produsului; - lista cuprinzand ingredientele; - data durabilitatii minimale/data limita de consum;  - greutatea </w:t>
            </w:r>
            <w:r>
              <w:rPr>
                <w:sz w:val="20"/>
                <w:szCs w:val="20"/>
              </w:rPr>
              <w:t xml:space="preserve">neta; - valoarea nutritionala; </w:t>
            </w:r>
            <w:r w:rsidRPr="009824A7">
              <w:rPr>
                <w:sz w:val="20"/>
                <w:szCs w:val="20"/>
              </w:rPr>
              <w:t xml:space="preserve"> - denumirea /denumirea comerciala si sediul producatorului / ambalatorului sau a distribuitorului inregistrat in Uniunea Europeana;  - in cazul produselor provenite din tari din afara Un</w:t>
            </w:r>
            <w:r>
              <w:rPr>
                <w:sz w:val="20"/>
                <w:szCs w:val="20"/>
              </w:rPr>
              <w:t>iunii Europene se inscriu denum</w:t>
            </w:r>
            <w:r w:rsidRPr="009824A7">
              <w:rPr>
                <w:sz w:val="20"/>
                <w:szCs w:val="20"/>
              </w:rPr>
              <w:t xml:space="preserve">irea  si sediul importatorului sau ale distribuitorului inregistrat in Romania;  - o mentiune care sa permita identificarea lotului.   </w:t>
            </w:r>
          </w:p>
          <w:p w:rsidR="00FC657D" w:rsidRDefault="00FC657D" w:rsidP="00FC657D">
            <w:pPr>
              <w:rPr>
                <w:sz w:val="20"/>
                <w:szCs w:val="20"/>
              </w:rPr>
            </w:pPr>
            <w:r w:rsidRPr="009824A7">
              <w:rPr>
                <w:sz w:val="20"/>
                <w:szCs w:val="20"/>
              </w:rPr>
              <w:t xml:space="preserve">Componentele nealimentare (sursa de incalzire, comprimatele </w:t>
            </w:r>
            <w:r w:rsidRPr="009824A7">
              <w:rPr>
                <w:sz w:val="20"/>
                <w:szCs w:val="20"/>
              </w:rPr>
              <w:lastRenderedPageBreak/>
              <w:t xml:space="preserve">pentru dezinfectarea apei) vor fi etichetate cu atentionari vizibile si instructiuni de folosire clare. </w:t>
            </w:r>
          </w:p>
          <w:p w:rsidR="00636B56" w:rsidRPr="00D82F67" w:rsidRDefault="00FC657D" w:rsidP="00FC657D">
            <w:pPr>
              <w:rPr>
                <w:sz w:val="20"/>
                <w:szCs w:val="20"/>
              </w:rPr>
            </w:pPr>
            <w:r w:rsidRPr="009824A7">
              <w:rPr>
                <w:sz w:val="20"/>
                <w:szCs w:val="20"/>
              </w:rPr>
              <w:t xml:space="preserve">Ambalajul final va fi marcat cu elementele de identificare ale </w:t>
            </w:r>
            <w:r w:rsidR="00D82F67">
              <w:rPr>
                <w:sz w:val="20"/>
                <w:szCs w:val="20"/>
              </w:rPr>
              <w:t xml:space="preserve">structurilor din cadrul sistemului național de apărare beneficiare și denumirea meniului.  </w:t>
            </w:r>
          </w:p>
        </w:tc>
        <w:tc>
          <w:tcPr>
            <w:tcW w:w="2306" w:type="dxa"/>
            <w:vAlign w:val="center"/>
          </w:tcPr>
          <w:p w:rsidR="00FC657D" w:rsidRPr="0011170D" w:rsidRDefault="00FC657D" w:rsidP="00FC657D">
            <w:pPr>
              <w:jc w:val="center"/>
            </w:pPr>
          </w:p>
        </w:tc>
        <w:tc>
          <w:tcPr>
            <w:tcW w:w="1325" w:type="dxa"/>
          </w:tcPr>
          <w:p w:rsidR="00FC657D" w:rsidRPr="0011170D" w:rsidRDefault="00FC657D" w:rsidP="00FC657D"/>
        </w:tc>
      </w:tr>
      <w:tr w:rsidR="00636B56" w:rsidRPr="0011170D" w:rsidTr="00D82F67">
        <w:trPr>
          <w:trHeight w:val="2859"/>
        </w:trPr>
        <w:tc>
          <w:tcPr>
            <w:tcW w:w="1168" w:type="dxa"/>
            <w:vAlign w:val="center"/>
          </w:tcPr>
          <w:p w:rsidR="00636B56" w:rsidRDefault="00636B56" w:rsidP="00636B56">
            <w:pPr>
              <w:rPr>
                <w:b/>
              </w:rPr>
            </w:pPr>
          </w:p>
        </w:tc>
        <w:tc>
          <w:tcPr>
            <w:tcW w:w="5490" w:type="dxa"/>
            <w:vAlign w:val="center"/>
          </w:tcPr>
          <w:p w:rsidR="00636B56" w:rsidRPr="00D82F67" w:rsidRDefault="00636B56" w:rsidP="00636B56">
            <w:pPr>
              <w:pStyle w:val="Heading1"/>
              <w:keepNext w:val="0"/>
              <w:widowControl w:val="0"/>
              <w:spacing w:before="0" w:after="0" w:line="276" w:lineRule="auto"/>
              <w:rPr>
                <w:rFonts w:ascii="Times New Roman" w:hAnsi="Times New Roman" w:cs="Times New Roman"/>
                <w:sz w:val="20"/>
                <w:szCs w:val="20"/>
              </w:rPr>
            </w:pPr>
            <w:r w:rsidRPr="00D82F67">
              <w:rPr>
                <w:rFonts w:ascii="Times New Roman" w:hAnsi="Times New Roman" w:cs="Times New Roman"/>
                <w:sz w:val="20"/>
                <w:szCs w:val="20"/>
              </w:rPr>
              <w:t>Depozitare și transport</w:t>
            </w:r>
          </w:p>
          <w:p w:rsidR="00D82F67" w:rsidRDefault="00636B56" w:rsidP="00D82F67">
            <w:pPr>
              <w:rPr>
                <w:sz w:val="20"/>
                <w:szCs w:val="20"/>
              </w:rPr>
            </w:pPr>
            <w:r w:rsidRPr="009824A7">
              <w:rPr>
                <w:sz w:val="20"/>
                <w:szCs w:val="20"/>
              </w:rPr>
              <w:t xml:space="preserve">Depozitarea se face in incaperi curate, aerisite, ferite de razele solare sau inghet, cu </w:t>
            </w:r>
            <w:r w:rsidR="00D82F67">
              <w:rPr>
                <w:sz w:val="20"/>
                <w:szCs w:val="20"/>
              </w:rPr>
              <w:t>asigurarea temperaturii ≤25</w:t>
            </w:r>
            <w:r w:rsidR="00D82F67">
              <w:rPr>
                <w:sz w:val="20"/>
                <w:szCs w:val="20"/>
                <w:vertAlign w:val="superscript"/>
              </w:rPr>
              <w:t>0</w:t>
            </w:r>
            <w:r w:rsidR="00D82F67">
              <w:rPr>
                <w:sz w:val="20"/>
                <w:szCs w:val="20"/>
              </w:rPr>
              <w:t>C</w:t>
            </w:r>
            <w:r w:rsidRPr="009824A7">
              <w:rPr>
                <w:sz w:val="20"/>
                <w:szCs w:val="20"/>
              </w:rPr>
              <w:t xml:space="preserve">. Transportul se face cu mijloace autorizate sanitar, igienice,  care sa asigure pe toata durata transportului pastrarea nemodificata a caracteristicilor nutritive, organoleptice, fizicochimice si microbiologice, precum si protectia impotriva prafului, insectelor, rozatoarelor, a altor posibilitati de poluare, degradare si contaminare atat a produselor transportate cat si a ambalajelor. </w:t>
            </w:r>
          </w:p>
          <w:p w:rsidR="00636B56" w:rsidRPr="00D82F67" w:rsidRDefault="00636B56" w:rsidP="00D82F67">
            <w:pPr>
              <w:rPr>
                <w:sz w:val="20"/>
                <w:szCs w:val="20"/>
              </w:rPr>
            </w:pPr>
            <w:r w:rsidRPr="00D82F67">
              <w:rPr>
                <w:sz w:val="20"/>
                <w:szCs w:val="20"/>
              </w:rPr>
              <w:t>Fie</w:t>
            </w:r>
            <w:r w:rsidR="00D82F67" w:rsidRPr="00D82F67">
              <w:rPr>
                <w:sz w:val="20"/>
                <w:szCs w:val="20"/>
              </w:rPr>
              <w:t>care transport va fi insotit de:</w:t>
            </w:r>
          </w:p>
          <w:p w:rsidR="00D82F67" w:rsidRPr="00D82F67" w:rsidRDefault="00D82F67" w:rsidP="00D82F67">
            <w:pPr>
              <w:pStyle w:val="ListParagraph"/>
              <w:numPr>
                <w:ilvl w:val="0"/>
                <w:numId w:val="2"/>
              </w:numPr>
              <w:spacing w:after="0" w:line="240" w:lineRule="auto"/>
              <w:ind w:left="641" w:hanging="357"/>
              <w:rPr>
                <w:rFonts w:ascii="Times New Roman" w:hAnsi="Times New Roman"/>
                <w:sz w:val="20"/>
                <w:szCs w:val="20"/>
                <w:lang w:eastAsia="ro-RO"/>
              </w:rPr>
            </w:pPr>
            <w:r w:rsidRPr="00D82F67">
              <w:rPr>
                <w:rFonts w:ascii="Times New Roman" w:hAnsi="Times New Roman"/>
                <w:sz w:val="20"/>
                <w:szCs w:val="20"/>
                <w:lang w:eastAsia="ro-RO"/>
              </w:rPr>
              <w:t>Factură;</w:t>
            </w:r>
          </w:p>
          <w:p w:rsidR="00D82F67" w:rsidRPr="00636B56" w:rsidRDefault="00D82F67" w:rsidP="00D82F67">
            <w:pPr>
              <w:pStyle w:val="ListParagraph"/>
              <w:numPr>
                <w:ilvl w:val="0"/>
                <w:numId w:val="2"/>
              </w:numPr>
              <w:spacing w:after="0" w:line="240" w:lineRule="auto"/>
              <w:ind w:left="641" w:hanging="357"/>
              <w:rPr>
                <w:lang w:eastAsia="ro-RO"/>
              </w:rPr>
            </w:pPr>
            <w:r w:rsidRPr="00D82F67">
              <w:rPr>
                <w:rFonts w:ascii="Times New Roman" w:hAnsi="Times New Roman"/>
                <w:sz w:val="20"/>
                <w:szCs w:val="20"/>
                <w:lang w:eastAsia="ro-RO"/>
              </w:rPr>
              <w:t>Aviz de însoțire a mărfii.</w:t>
            </w:r>
          </w:p>
        </w:tc>
        <w:tc>
          <w:tcPr>
            <w:tcW w:w="2306" w:type="dxa"/>
            <w:vAlign w:val="center"/>
          </w:tcPr>
          <w:p w:rsidR="00636B56" w:rsidRPr="0011170D" w:rsidRDefault="00636B56" w:rsidP="00636B56">
            <w:pPr>
              <w:jc w:val="center"/>
            </w:pPr>
          </w:p>
        </w:tc>
        <w:tc>
          <w:tcPr>
            <w:tcW w:w="1325" w:type="dxa"/>
          </w:tcPr>
          <w:p w:rsidR="00636B56" w:rsidRPr="0011170D" w:rsidRDefault="00636B56" w:rsidP="00636B56"/>
        </w:tc>
      </w:tr>
      <w:tr w:rsidR="00636B56" w:rsidRPr="0011170D" w:rsidTr="00636B56">
        <w:tc>
          <w:tcPr>
            <w:tcW w:w="1168" w:type="dxa"/>
            <w:vAlign w:val="center"/>
          </w:tcPr>
          <w:p w:rsidR="00636B56" w:rsidRDefault="00636B56" w:rsidP="00636B56">
            <w:pPr>
              <w:rPr>
                <w:b/>
              </w:rPr>
            </w:pPr>
          </w:p>
        </w:tc>
        <w:tc>
          <w:tcPr>
            <w:tcW w:w="5490" w:type="dxa"/>
            <w:vAlign w:val="center"/>
          </w:tcPr>
          <w:p w:rsidR="00636B56" w:rsidRPr="00D82F67" w:rsidRDefault="00636B56" w:rsidP="00636B56">
            <w:pPr>
              <w:pStyle w:val="Heading1"/>
              <w:keepNext w:val="0"/>
              <w:widowControl w:val="0"/>
              <w:spacing w:before="0" w:after="0" w:line="276" w:lineRule="auto"/>
              <w:rPr>
                <w:rFonts w:ascii="Times New Roman" w:hAnsi="Times New Roman" w:cs="Times New Roman"/>
                <w:sz w:val="20"/>
                <w:szCs w:val="20"/>
              </w:rPr>
            </w:pPr>
            <w:r w:rsidRPr="00D82F67">
              <w:rPr>
                <w:rFonts w:ascii="Times New Roman" w:hAnsi="Times New Roman" w:cs="Times New Roman"/>
                <w:sz w:val="20"/>
                <w:szCs w:val="20"/>
              </w:rPr>
              <w:t>Recepția</w:t>
            </w:r>
          </w:p>
          <w:p w:rsidR="00636B56" w:rsidRPr="00230F3A" w:rsidRDefault="00636B56" w:rsidP="00636B56">
            <w:pPr>
              <w:rPr>
                <w:sz w:val="20"/>
                <w:szCs w:val="20"/>
              </w:rPr>
            </w:pPr>
            <w:r w:rsidRPr="009824A7">
              <w:rPr>
                <w:sz w:val="20"/>
                <w:szCs w:val="20"/>
              </w:rPr>
              <w:t>C</w:t>
            </w:r>
            <w:r w:rsidRPr="00230F3A">
              <w:rPr>
                <w:sz w:val="20"/>
                <w:szCs w:val="20"/>
              </w:rPr>
              <w:t xml:space="preserve">onsta in receptia cantitativa si calitativa. </w:t>
            </w:r>
          </w:p>
          <w:p w:rsidR="00636B56" w:rsidRPr="00230F3A" w:rsidRDefault="00636B56" w:rsidP="00636B56">
            <w:pPr>
              <w:rPr>
                <w:sz w:val="20"/>
                <w:szCs w:val="20"/>
              </w:rPr>
            </w:pPr>
            <w:r w:rsidRPr="00230F3A">
              <w:rPr>
                <w:sz w:val="20"/>
                <w:szCs w:val="20"/>
              </w:rPr>
              <w:t xml:space="preserve">Receptia cantitativa se face la sediul beneficiarului, de catre comisia de receptie. </w:t>
            </w:r>
          </w:p>
          <w:p w:rsidR="00230F3A" w:rsidRPr="00230F3A" w:rsidRDefault="00636B56" w:rsidP="00230F3A">
            <w:pPr>
              <w:rPr>
                <w:sz w:val="20"/>
                <w:szCs w:val="20"/>
              </w:rPr>
            </w:pPr>
            <w:r w:rsidRPr="00230F3A">
              <w:rPr>
                <w:sz w:val="20"/>
                <w:szCs w:val="20"/>
              </w:rPr>
              <w:t>Receptia calitativa</w:t>
            </w:r>
            <w:r w:rsidR="00D82F67" w:rsidRPr="00230F3A">
              <w:rPr>
                <w:sz w:val="20"/>
                <w:szCs w:val="20"/>
              </w:rPr>
              <w:t xml:space="preserve"> se efectuează prin verificarea </w:t>
            </w:r>
            <w:r w:rsidRPr="00230F3A">
              <w:rPr>
                <w:sz w:val="20"/>
                <w:szCs w:val="20"/>
              </w:rPr>
              <w:t xml:space="preserve">documentelor care insotesc produsul </w:t>
            </w:r>
          </w:p>
          <w:p w:rsidR="00230F3A" w:rsidRPr="00230F3A" w:rsidRDefault="00230F3A" w:rsidP="00230F3A">
            <w:pPr>
              <w:pStyle w:val="ListParagraph"/>
              <w:numPr>
                <w:ilvl w:val="0"/>
                <w:numId w:val="2"/>
              </w:numPr>
              <w:rPr>
                <w:rFonts w:ascii="Times New Roman" w:hAnsi="Times New Roman"/>
                <w:sz w:val="20"/>
                <w:szCs w:val="20"/>
              </w:rPr>
            </w:pPr>
            <w:r w:rsidRPr="00230F3A">
              <w:rPr>
                <w:rFonts w:ascii="Times New Roman" w:hAnsi="Times New Roman"/>
                <w:sz w:val="20"/>
                <w:szCs w:val="20"/>
              </w:rPr>
              <w:t>Buletine de analiză pentru produsele alimentare din compunerea rației individuale de luptă, eliberate de un laborator acreditat ISO/IEC 17025;</w:t>
            </w:r>
          </w:p>
          <w:p w:rsidR="00230F3A" w:rsidRPr="00230F3A" w:rsidRDefault="00230F3A" w:rsidP="00230F3A">
            <w:pPr>
              <w:pStyle w:val="ListParagraph"/>
              <w:numPr>
                <w:ilvl w:val="0"/>
                <w:numId w:val="2"/>
              </w:numPr>
              <w:rPr>
                <w:rFonts w:ascii="Times New Roman" w:hAnsi="Times New Roman"/>
                <w:sz w:val="20"/>
                <w:szCs w:val="20"/>
              </w:rPr>
            </w:pPr>
            <w:r w:rsidRPr="00230F3A">
              <w:rPr>
                <w:rFonts w:ascii="Times New Roman" w:hAnsi="Times New Roman"/>
                <w:sz w:val="20"/>
                <w:szCs w:val="20"/>
              </w:rPr>
              <w:t>Dovada acreditării laboratorului care a efectuat analizele produselor alimentare;</w:t>
            </w:r>
          </w:p>
          <w:p w:rsidR="00230F3A" w:rsidRPr="00230F3A" w:rsidRDefault="00230F3A" w:rsidP="00230F3A">
            <w:pPr>
              <w:pStyle w:val="ListParagraph"/>
              <w:numPr>
                <w:ilvl w:val="0"/>
                <w:numId w:val="2"/>
              </w:numPr>
              <w:rPr>
                <w:rFonts w:ascii="Times New Roman" w:hAnsi="Times New Roman"/>
                <w:sz w:val="20"/>
                <w:szCs w:val="20"/>
              </w:rPr>
            </w:pPr>
            <w:r w:rsidRPr="00230F3A">
              <w:rPr>
                <w:rFonts w:ascii="Times New Roman" w:hAnsi="Times New Roman"/>
                <w:sz w:val="20"/>
                <w:szCs w:val="20"/>
              </w:rPr>
              <w:t>Certificate de calitate emise de către producător, aferente produselor alimentare din compunerea rației individuale de luptă, care consemnează existența unui anumit nivel calitativ al produsului;</w:t>
            </w:r>
          </w:p>
          <w:p w:rsidR="00230F3A" w:rsidRPr="00230F3A" w:rsidRDefault="00230F3A" w:rsidP="00230F3A">
            <w:pPr>
              <w:pStyle w:val="ListParagraph"/>
              <w:numPr>
                <w:ilvl w:val="0"/>
                <w:numId w:val="2"/>
              </w:numPr>
              <w:rPr>
                <w:rFonts w:ascii="Times New Roman" w:hAnsi="Times New Roman"/>
                <w:sz w:val="20"/>
                <w:szCs w:val="20"/>
              </w:rPr>
            </w:pPr>
            <w:r w:rsidRPr="00230F3A">
              <w:rPr>
                <w:rFonts w:ascii="Times New Roman" w:hAnsi="Times New Roman"/>
                <w:sz w:val="20"/>
                <w:szCs w:val="20"/>
              </w:rPr>
              <w:t>Fișele tehnice emise de producător, aferente produselor alimentare din componența rației individuale de luptă, care trebuie să cuprindă parametrii organoleptici, fizico-chimici și microbiologici;</w:t>
            </w:r>
          </w:p>
          <w:p w:rsidR="00230F3A" w:rsidRDefault="00230F3A" w:rsidP="00230F3A">
            <w:pPr>
              <w:pStyle w:val="ListParagraph"/>
              <w:numPr>
                <w:ilvl w:val="0"/>
                <w:numId w:val="2"/>
              </w:numPr>
              <w:rPr>
                <w:rFonts w:ascii="Times New Roman" w:hAnsi="Times New Roman"/>
                <w:sz w:val="20"/>
                <w:szCs w:val="20"/>
              </w:rPr>
            </w:pPr>
            <w:r w:rsidRPr="00230F3A">
              <w:rPr>
                <w:rFonts w:ascii="Times New Roman" w:hAnsi="Times New Roman"/>
                <w:sz w:val="20"/>
                <w:szCs w:val="20"/>
              </w:rPr>
              <w:t xml:space="preserve">Declarație de conformitate, emisă de furnizor, prin care declară pe propria răspundere că produsele alimentare din componența rației individuale de luptă se află în concordanță cu fișele tehnice emise de către producătorii acestora. </w:t>
            </w:r>
          </w:p>
          <w:p w:rsidR="00636B56" w:rsidRPr="00230F3A" w:rsidRDefault="00230F3A" w:rsidP="00230F3A">
            <w:pPr>
              <w:rPr>
                <w:sz w:val="20"/>
                <w:szCs w:val="20"/>
              </w:rPr>
            </w:pPr>
            <w:r>
              <w:rPr>
                <w:sz w:val="20"/>
                <w:szCs w:val="20"/>
              </w:rPr>
              <w:t>La recepția calitativă se verifică conformitatea cu prezenta specificație tehnică  (respectarea structurii unui meniu zilnic, modul de ambalare, analize de laborator efectuate la cererea autorității contractante).</w:t>
            </w:r>
          </w:p>
        </w:tc>
        <w:tc>
          <w:tcPr>
            <w:tcW w:w="2306" w:type="dxa"/>
            <w:vAlign w:val="center"/>
          </w:tcPr>
          <w:p w:rsidR="00636B56" w:rsidRPr="0011170D" w:rsidRDefault="00636B56" w:rsidP="00636B56">
            <w:pPr>
              <w:jc w:val="center"/>
            </w:pPr>
          </w:p>
        </w:tc>
        <w:tc>
          <w:tcPr>
            <w:tcW w:w="1325" w:type="dxa"/>
          </w:tcPr>
          <w:p w:rsidR="00636B56" w:rsidRPr="0011170D" w:rsidRDefault="00636B56" w:rsidP="00636B56"/>
        </w:tc>
      </w:tr>
    </w:tbl>
    <w:p w:rsidR="00636B56" w:rsidRDefault="00A35ED4" w:rsidP="00AE3FD4">
      <w:r w:rsidRPr="00A17422">
        <w:t xml:space="preserve">                       </w:t>
      </w:r>
      <w:r w:rsidR="00AE3FD4">
        <w:t xml:space="preserve">                                                             </w:t>
      </w:r>
      <w:r w:rsidR="00E82829" w:rsidRPr="00E3277A">
        <w:t xml:space="preserve">  </w:t>
      </w:r>
      <w:r w:rsidR="00E82829">
        <w:tab/>
      </w:r>
    </w:p>
    <w:p w:rsidR="00740A3A" w:rsidRDefault="00740A3A" w:rsidP="00740A3A">
      <w:pPr>
        <w:jc w:val="right"/>
        <w:rPr>
          <w:b/>
        </w:rPr>
      </w:pPr>
    </w:p>
    <w:p w:rsidR="00740A3A" w:rsidRDefault="00740A3A" w:rsidP="00740A3A">
      <w:pPr>
        <w:jc w:val="center"/>
        <w:rPr>
          <w:b/>
        </w:rPr>
      </w:pPr>
    </w:p>
    <w:p w:rsidR="00740A3A" w:rsidRDefault="00740A3A" w:rsidP="00C861F7">
      <w:pPr>
        <w:jc w:val="left"/>
        <w:rPr>
          <w:b/>
        </w:rPr>
      </w:pPr>
    </w:p>
    <w:p w:rsidR="00740A3A" w:rsidRDefault="00740A3A" w:rsidP="00C861F7">
      <w:pPr>
        <w:rPr>
          <w:b/>
        </w:rPr>
      </w:pPr>
    </w:p>
    <w:p w:rsidR="00740A3A" w:rsidRDefault="00740A3A" w:rsidP="00740A3A">
      <w:pPr>
        <w:jc w:val="center"/>
        <w:rPr>
          <w:b/>
        </w:rPr>
      </w:pPr>
    </w:p>
    <w:p w:rsidR="00740A3A" w:rsidRDefault="00740A3A" w:rsidP="00740A3A">
      <w:pPr>
        <w:jc w:val="center"/>
        <w:rPr>
          <w:b/>
        </w:rPr>
      </w:pPr>
    </w:p>
    <w:p w:rsidR="00740A3A" w:rsidRDefault="00740A3A" w:rsidP="00C861F7">
      <w:pPr>
        <w:rPr>
          <w:b/>
        </w:rPr>
      </w:pPr>
    </w:p>
    <w:p w:rsidR="00740A3A" w:rsidRPr="00EC0208" w:rsidRDefault="00740A3A"/>
    <w:sectPr w:rsidR="00740A3A" w:rsidRPr="00EC0208" w:rsidSect="008E38EE">
      <w:type w:val="continuous"/>
      <w:pgSz w:w="11906" w:h="16838" w:code="9"/>
      <w:pgMar w:top="340" w:right="907" w:bottom="426" w:left="1247" w:header="709"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17" w:rsidRDefault="00E05817" w:rsidP="00EC0208">
      <w:r>
        <w:separator/>
      </w:r>
    </w:p>
  </w:endnote>
  <w:endnote w:type="continuationSeparator" w:id="1">
    <w:p w:rsidR="00E05817" w:rsidRDefault="00E05817" w:rsidP="00EC0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17" w:rsidRDefault="00E05817" w:rsidP="00EC0208">
      <w:r>
        <w:separator/>
      </w:r>
    </w:p>
  </w:footnote>
  <w:footnote w:type="continuationSeparator" w:id="1">
    <w:p w:rsidR="00E05817" w:rsidRDefault="00E05817" w:rsidP="00EC0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BF6"/>
    <w:multiLevelType w:val="hybridMultilevel"/>
    <w:tmpl w:val="76948B70"/>
    <w:lvl w:ilvl="0" w:tplc="2A3A5B0C">
      <w:start w:val="1"/>
      <w:numFmt w:val="upperRoman"/>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7A56ACC"/>
    <w:multiLevelType w:val="hybridMultilevel"/>
    <w:tmpl w:val="06A07C3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E92A75"/>
    <w:multiLevelType w:val="hybridMultilevel"/>
    <w:tmpl w:val="B9D82A88"/>
    <w:lvl w:ilvl="0" w:tplc="5ED8E9F4">
      <w:start w:val="1"/>
      <w:numFmt w:val="decimal"/>
      <w:lvlText w:val="%1."/>
      <w:lvlJc w:val="center"/>
      <w:pPr>
        <w:tabs>
          <w:tab w:val="num" w:pos="792"/>
        </w:tabs>
        <w:ind w:left="696" w:hanging="336"/>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B1393B"/>
    <w:multiLevelType w:val="hybridMultilevel"/>
    <w:tmpl w:val="C18A3D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AF76534"/>
    <w:multiLevelType w:val="hybridMultilevel"/>
    <w:tmpl w:val="470297F8"/>
    <w:lvl w:ilvl="0" w:tplc="4380E358">
      <w:start w:val="3"/>
      <w:numFmt w:val="bullet"/>
      <w:lvlText w:val="-"/>
      <w:lvlJc w:val="left"/>
      <w:pPr>
        <w:ind w:left="643"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EC0208"/>
    <w:rsid w:val="00002B45"/>
    <w:rsid w:val="000034E4"/>
    <w:rsid w:val="0000352C"/>
    <w:rsid w:val="000041D8"/>
    <w:rsid w:val="00005AB0"/>
    <w:rsid w:val="00006C29"/>
    <w:rsid w:val="00007E1F"/>
    <w:rsid w:val="00007F5A"/>
    <w:rsid w:val="000139EF"/>
    <w:rsid w:val="00013B24"/>
    <w:rsid w:val="00015FA0"/>
    <w:rsid w:val="00016A93"/>
    <w:rsid w:val="00016EBC"/>
    <w:rsid w:val="00017B95"/>
    <w:rsid w:val="00020D60"/>
    <w:rsid w:val="0002178A"/>
    <w:rsid w:val="00022907"/>
    <w:rsid w:val="00023454"/>
    <w:rsid w:val="00024887"/>
    <w:rsid w:val="00027725"/>
    <w:rsid w:val="0003219E"/>
    <w:rsid w:val="00032BC9"/>
    <w:rsid w:val="00033A42"/>
    <w:rsid w:val="00033B6B"/>
    <w:rsid w:val="00034B32"/>
    <w:rsid w:val="000403C2"/>
    <w:rsid w:val="000404AB"/>
    <w:rsid w:val="000416AD"/>
    <w:rsid w:val="000429C0"/>
    <w:rsid w:val="00043166"/>
    <w:rsid w:val="00044E8E"/>
    <w:rsid w:val="00045C06"/>
    <w:rsid w:val="00045DD6"/>
    <w:rsid w:val="000476B8"/>
    <w:rsid w:val="0005132E"/>
    <w:rsid w:val="000518E8"/>
    <w:rsid w:val="0005535B"/>
    <w:rsid w:val="0005611E"/>
    <w:rsid w:val="0005632A"/>
    <w:rsid w:val="000617C6"/>
    <w:rsid w:val="000703BE"/>
    <w:rsid w:val="00071BF7"/>
    <w:rsid w:val="000724A5"/>
    <w:rsid w:val="00073409"/>
    <w:rsid w:val="0007451B"/>
    <w:rsid w:val="0008098B"/>
    <w:rsid w:val="000847BD"/>
    <w:rsid w:val="00084D9E"/>
    <w:rsid w:val="000877BA"/>
    <w:rsid w:val="0009065E"/>
    <w:rsid w:val="00093A8E"/>
    <w:rsid w:val="00095695"/>
    <w:rsid w:val="000A2220"/>
    <w:rsid w:val="000A43A7"/>
    <w:rsid w:val="000A62E4"/>
    <w:rsid w:val="000A71B6"/>
    <w:rsid w:val="000A73F1"/>
    <w:rsid w:val="000B3205"/>
    <w:rsid w:val="000B32B3"/>
    <w:rsid w:val="000B7624"/>
    <w:rsid w:val="000C0792"/>
    <w:rsid w:val="000C0D52"/>
    <w:rsid w:val="000C2860"/>
    <w:rsid w:val="000C6B3B"/>
    <w:rsid w:val="000C790A"/>
    <w:rsid w:val="000C7C22"/>
    <w:rsid w:val="000C7D8C"/>
    <w:rsid w:val="000D3FC1"/>
    <w:rsid w:val="000D7120"/>
    <w:rsid w:val="000D7C09"/>
    <w:rsid w:val="000E07BD"/>
    <w:rsid w:val="000E281E"/>
    <w:rsid w:val="000E4726"/>
    <w:rsid w:val="000E7587"/>
    <w:rsid w:val="000F051E"/>
    <w:rsid w:val="000F1303"/>
    <w:rsid w:val="000F1647"/>
    <w:rsid w:val="000F5492"/>
    <w:rsid w:val="000F5525"/>
    <w:rsid w:val="000F644A"/>
    <w:rsid w:val="00100C2F"/>
    <w:rsid w:val="00102A89"/>
    <w:rsid w:val="00104590"/>
    <w:rsid w:val="00107C0A"/>
    <w:rsid w:val="00111334"/>
    <w:rsid w:val="0011170D"/>
    <w:rsid w:val="001119C2"/>
    <w:rsid w:val="00113A33"/>
    <w:rsid w:val="0012291F"/>
    <w:rsid w:val="00124146"/>
    <w:rsid w:val="00131932"/>
    <w:rsid w:val="001332BD"/>
    <w:rsid w:val="00133CDE"/>
    <w:rsid w:val="001348AB"/>
    <w:rsid w:val="00137D4C"/>
    <w:rsid w:val="00143F2B"/>
    <w:rsid w:val="00144D93"/>
    <w:rsid w:val="00145248"/>
    <w:rsid w:val="00145D76"/>
    <w:rsid w:val="00147FBC"/>
    <w:rsid w:val="0015157A"/>
    <w:rsid w:val="00152953"/>
    <w:rsid w:val="00153583"/>
    <w:rsid w:val="00165E40"/>
    <w:rsid w:val="00166795"/>
    <w:rsid w:val="001712E8"/>
    <w:rsid w:val="00171466"/>
    <w:rsid w:val="00172EF4"/>
    <w:rsid w:val="001749FF"/>
    <w:rsid w:val="001847EF"/>
    <w:rsid w:val="00190129"/>
    <w:rsid w:val="00191073"/>
    <w:rsid w:val="001936D6"/>
    <w:rsid w:val="00197C78"/>
    <w:rsid w:val="001A0658"/>
    <w:rsid w:val="001A0E43"/>
    <w:rsid w:val="001A14E1"/>
    <w:rsid w:val="001A1B98"/>
    <w:rsid w:val="001A3E10"/>
    <w:rsid w:val="001A48BB"/>
    <w:rsid w:val="001B0EC8"/>
    <w:rsid w:val="001B481F"/>
    <w:rsid w:val="001B635A"/>
    <w:rsid w:val="001B67B1"/>
    <w:rsid w:val="001C17B4"/>
    <w:rsid w:val="001C25A4"/>
    <w:rsid w:val="001C3245"/>
    <w:rsid w:val="001C467B"/>
    <w:rsid w:val="001C5021"/>
    <w:rsid w:val="001C56F0"/>
    <w:rsid w:val="001D05E0"/>
    <w:rsid w:val="001D245D"/>
    <w:rsid w:val="001D5F1C"/>
    <w:rsid w:val="001D6A39"/>
    <w:rsid w:val="001D6F6B"/>
    <w:rsid w:val="001D739C"/>
    <w:rsid w:val="001E124D"/>
    <w:rsid w:val="001E1717"/>
    <w:rsid w:val="001E3F4D"/>
    <w:rsid w:val="001E471C"/>
    <w:rsid w:val="001E5889"/>
    <w:rsid w:val="001F4610"/>
    <w:rsid w:val="001F6ED0"/>
    <w:rsid w:val="001F7670"/>
    <w:rsid w:val="002022AD"/>
    <w:rsid w:val="00204F10"/>
    <w:rsid w:val="00205E8F"/>
    <w:rsid w:val="00207AD6"/>
    <w:rsid w:val="00212E7E"/>
    <w:rsid w:val="0021528C"/>
    <w:rsid w:val="00215DE6"/>
    <w:rsid w:val="00216F9C"/>
    <w:rsid w:val="002205A4"/>
    <w:rsid w:val="00223B5C"/>
    <w:rsid w:val="00227E46"/>
    <w:rsid w:val="00230F3A"/>
    <w:rsid w:val="00231166"/>
    <w:rsid w:val="00232311"/>
    <w:rsid w:val="002329FE"/>
    <w:rsid w:val="00232EB1"/>
    <w:rsid w:val="002334F3"/>
    <w:rsid w:val="0023425B"/>
    <w:rsid w:val="00236609"/>
    <w:rsid w:val="002406B8"/>
    <w:rsid w:val="00241169"/>
    <w:rsid w:val="00245E3C"/>
    <w:rsid w:val="002471D3"/>
    <w:rsid w:val="00247566"/>
    <w:rsid w:val="00247836"/>
    <w:rsid w:val="00247DBE"/>
    <w:rsid w:val="002523A0"/>
    <w:rsid w:val="00252EE5"/>
    <w:rsid w:val="00253E84"/>
    <w:rsid w:val="002545F4"/>
    <w:rsid w:val="00255FC0"/>
    <w:rsid w:val="0025658C"/>
    <w:rsid w:val="0025736C"/>
    <w:rsid w:val="00257503"/>
    <w:rsid w:val="00257AD9"/>
    <w:rsid w:val="00262FC3"/>
    <w:rsid w:val="002632C0"/>
    <w:rsid w:val="002639C9"/>
    <w:rsid w:val="002643B9"/>
    <w:rsid w:val="0026466B"/>
    <w:rsid w:val="00266177"/>
    <w:rsid w:val="002709E0"/>
    <w:rsid w:val="00273767"/>
    <w:rsid w:val="00273E16"/>
    <w:rsid w:val="00274028"/>
    <w:rsid w:val="00274384"/>
    <w:rsid w:val="00274F26"/>
    <w:rsid w:val="00276AB9"/>
    <w:rsid w:val="002777F3"/>
    <w:rsid w:val="002815C8"/>
    <w:rsid w:val="0028242A"/>
    <w:rsid w:val="0028264D"/>
    <w:rsid w:val="00283857"/>
    <w:rsid w:val="002916EA"/>
    <w:rsid w:val="00293807"/>
    <w:rsid w:val="00293FCA"/>
    <w:rsid w:val="0029573D"/>
    <w:rsid w:val="002A02B3"/>
    <w:rsid w:val="002A1EB5"/>
    <w:rsid w:val="002A66FB"/>
    <w:rsid w:val="002A69E0"/>
    <w:rsid w:val="002A717C"/>
    <w:rsid w:val="002A7609"/>
    <w:rsid w:val="002B0027"/>
    <w:rsid w:val="002B1BD1"/>
    <w:rsid w:val="002B1DD6"/>
    <w:rsid w:val="002B43C6"/>
    <w:rsid w:val="002B564F"/>
    <w:rsid w:val="002B6F7D"/>
    <w:rsid w:val="002C1CE1"/>
    <w:rsid w:val="002C1E12"/>
    <w:rsid w:val="002C6950"/>
    <w:rsid w:val="002D0607"/>
    <w:rsid w:val="002D2091"/>
    <w:rsid w:val="002D3B34"/>
    <w:rsid w:val="002D5119"/>
    <w:rsid w:val="002D580A"/>
    <w:rsid w:val="002D722C"/>
    <w:rsid w:val="002E0566"/>
    <w:rsid w:val="002E0B42"/>
    <w:rsid w:val="002E2457"/>
    <w:rsid w:val="002E328F"/>
    <w:rsid w:val="002E4257"/>
    <w:rsid w:val="002E49E9"/>
    <w:rsid w:val="002E5D3A"/>
    <w:rsid w:val="002E78DF"/>
    <w:rsid w:val="002E7B44"/>
    <w:rsid w:val="002F0B2F"/>
    <w:rsid w:val="002F12B0"/>
    <w:rsid w:val="002F633F"/>
    <w:rsid w:val="002F67ED"/>
    <w:rsid w:val="002F7657"/>
    <w:rsid w:val="00300385"/>
    <w:rsid w:val="00302C3D"/>
    <w:rsid w:val="00304129"/>
    <w:rsid w:val="00306B2D"/>
    <w:rsid w:val="00310362"/>
    <w:rsid w:val="00310E9C"/>
    <w:rsid w:val="00311FEC"/>
    <w:rsid w:val="00313A45"/>
    <w:rsid w:val="0031448B"/>
    <w:rsid w:val="00314618"/>
    <w:rsid w:val="003160DF"/>
    <w:rsid w:val="003162C3"/>
    <w:rsid w:val="00317E53"/>
    <w:rsid w:val="0032332D"/>
    <w:rsid w:val="003322C5"/>
    <w:rsid w:val="0033257B"/>
    <w:rsid w:val="00335899"/>
    <w:rsid w:val="00341831"/>
    <w:rsid w:val="00344A73"/>
    <w:rsid w:val="003508F4"/>
    <w:rsid w:val="00351237"/>
    <w:rsid w:val="00352F2C"/>
    <w:rsid w:val="003550F8"/>
    <w:rsid w:val="00355AC9"/>
    <w:rsid w:val="0036152A"/>
    <w:rsid w:val="00362528"/>
    <w:rsid w:val="00364402"/>
    <w:rsid w:val="00364449"/>
    <w:rsid w:val="003652AA"/>
    <w:rsid w:val="00365C77"/>
    <w:rsid w:val="00366124"/>
    <w:rsid w:val="0037013F"/>
    <w:rsid w:val="00374552"/>
    <w:rsid w:val="00375B87"/>
    <w:rsid w:val="00381161"/>
    <w:rsid w:val="00381ADA"/>
    <w:rsid w:val="00384177"/>
    <w:rsid w:val="003845E3"/>
    <w:rsid w:val="00386E99"/>
    <w:rsid w:val="00387383"/>
    <w:rsid w:val="003929C9"/>
    <w:rsid w:val="00394D81"/>
    <w:rsid w:val="0039551B"/>
    <w:rsid w:val="003956AE"/>
    <w:rsid w:val="003A0101"/>
    <w:rsid w:val="003A1297"/>
    <w:rsid w:val="003A2644"/>
    <w:rsid w:val="003A385B"/>
    <w:rsid w:val="003A62F9"/>
    <w:rsid w:val="003A6D8A"/>
    <w:rsid w:val="003A7375"/>
    <w:rsid w:val="003B29EF"/>
    <w:rsid w:val="003B2E77"/>
    <w:rsid w:val="003C20E0"/>
    <w:rsid w:val="003C24AA"/>
    <w:rsid w:val="003C3376"/>
    <w:rsid w:val="003C3C00"/>
    <w:rsid w:val="003C4283"/>
    <w:rsid w:val="003C6C1A"/>
    <w:rsid w:val="003D0774"/>
    <w:rsid w:val="003D3A98"/>
    <w:rsid w:val="003D3BA0"/>
    <w:rsid w:val="003D5CC2"/>
    <w:rsid w:val="003D5FB2"/>
    <w:rsid w:val="003D66C4"/>
    <w:rsid w:val="003E0A74"/>
    <w:rsid w:val="003E22B5"/>
    <w:rsid w:val="003E293B"/>
    <w:rsid w:val="003E5944"/>
    <w:rsid w:val="003F1501"/>
    <w:rsid w:val="003F26F1"/>
    <w:rsid w:val="003F3240"/>
    <w:rsid w:val="003F5310"/>
    <w:rsid w:val="0040093B"/>
    <w:rsid w:val="00401398"/>
    <w:rsid w:val="00401557"/>
    <w:rsid w:val="00401DE1"/>
    <w:rsid w:val="004045FF"/>
    <w:rsid w:val="004056F9"/>
    <w:rsid w:val="00415873"/>
    <w:rsid w:val="00415EB0"/>
    <w:rsid w:val="0041618D"/>
    <w:rsid w:val="00417218"/>
    <w:rsid w:val="0041798C"/>
    <w:rsid w:val="00420395"/>
    <w:rsid w:val="004314DB"/>
    <w:rsid w:val="00431EE9"/>
    <w:rsid w:val="00435704"/>
    <w:rsid w:val="004365EF"/>
    <w:rsid w:val="00437647"/>
    <w:rsid w:val="00437762"/>
    <w:rsid w:val="00442123"/>
    <w:rsid w:val="00444948"/>
    <w:rsid w:val="00444B33"/>
    <w:rsid w:val="00447D54"/>
    <w:rsid w:val="00453D67"/>
    <w:rsid w:val="00454731"/>
    <w:rsid w:val="00456293"/>
    <w:rsid w:val="004606D3"/>
    <w:rsid w:val="0046227B"/>
    <w:rsid w:val="0046256F"/>
    <w:rsid w:val="0046300A"/>
    <w:rsid w:val="004653B1"/>
    <w:rsid w:val="00466ED0"/>
    <w:rsid w:val="00467811"/>
    <w:rsid w:val="00467A71"/>
    <w:rsid w:val="00470770"/>
    <w:rsid w:val="00471952"/>
    <w:rsid w:val="00472AEB"/>
    <w:rsid w:val="00480DD6"/>
    <w:rsid w:val="00481574"/>
    <w:rsid w:val="00487E7F"/>
    <w:rsid w:val="00492609"/>
    <w:rsid w:val="0049535C"/>
    <w:rsid w:val="0049537F"/>
    <w:rsid w:val="004A11D1"/>
    <w:rsid w:val="004A16C7"/>
    <w:rsid w:val="004A235D"/>
    <w:rsid w:val="004A5F3E"/>
    <w:rsid w:val="004A6FA8"/>
    <w:rsid w:val="004A7383"/>
    <w:rsid w:val="004A7FA2"/>
    <w:rsid w:val="004B03FD"/>
    <w:rsid w:val="004B08DC"/>
    <w:rsid w:val="004B23BB"/>
    <w:rsid w:val="004B2AFE"/>
    <w:rsid w:val="004B34E5"/>
    <w:rsid w:val="004B4A8C"/>
    <w:rsid w:val="004B5283"/>
    <w:rsid w:val="004B6E2A"/>
    <w:rsid w:val="004B727E"/>
    <w:rsid w:val="004B7687"/>
    <w:rsid w:val="004C0AA5"/>
    <w:rsid w:val="004C16A7"/>
    <w:rsid w:val="004C3881"/>
    <w:rsid w:val="004C5C42"/>
    <w:rsid w:val="004C737B"/>
    <w:rsid w:val="004D0163"/>
    <w:rsid w:val="004D2B6D"/>
    <w:rsid w:val="004D2DB7"/>
    <w:rsid w:val="004D4F00"/>
    <w:rsid w:val="004D5986"/>
    <w:rsid w:val="004E007F"/>
    <w:rsid w:val="004E0C41"/>
    <w:rsid w:val="004E527B"/>
    <w:rsid w:val="004E6517"/>
    <w:rsid w:val="004F2ECE"/>
    <w:rsid w:val="004F3F2B"/>
    <w:rsid w:val="004F466D"/>
    <w:rsid w:val="004F5FE6"/>
    <w:rsid w:val="004F7C6E"/>
    <w:rsid w:val="004F7FF8"/>
    <w:rsid w:val="0050038D"/>
    <w:rsid w:val="00501345"/>
    <w:rsid w:val="00504439"/>
    <w:rsid w:val="00504BD8"/>
    <w:rsid w:val="00504F97"/>
    <w:rsid w:val="00506663"/>
    <w:rsid w:val="00510806"/>
    <w:rsid w:val="00511CFF"/>
    <w:rsid w:val="005137FF"/>
    <w:rsid w:val="005143BB"/>
    <w:rsid w:val="00515A17"/>
    <w:rsid w:val="00516E5A"/>
    <w:rsid w:val="005210B7"/>
    <w:rsid w:val="005213B4"/>
    <w:rsid w:val="00522ECD"/>
    <w:rsid w:val="00523209"/>
    <w:rsid w:val="00523E51"/>
    <w:rsid w:val="005246ED"/>
    <w:rsid w:val="00526951"/>
    <w:rsid w:val="00530394"/>
    <w:rsid w:val="005402E2"/>
    <w:rsid w:val="0054113E"/>
    <w:rsid w:val="00542264"/>
    <w:rsid w:val="00544076"/>
    <w:rsid w:val="0054524C"/>
    <w:rsid w:val="00547E17"/>
    <w:rsid w:val="005524B1"/>
    <w:rsid w:val="005561A0"/>
    <w:rsid w:val="005602FD"/>
    <w:rsid w:val="0056058D"/>
    <w:rsid w:val="00560EF5"/>
    <w:rsid w:val="00563AFC"/>
    <w:rsid w:val="005676AF"/>
    <w:rsid w:val="00571CA3"/>
    <w:rsid w:val="00572023"/>
    <w:rsid w:val="00574A73"/>
    <w:rsid w:val="00577AF0"/>
    <w:rsid w:val="005812B1"/>
    <w:rsid w:val="00581F25"/>
    <w:rsid w:val="0058305F"/>
    <w:rsid w:val="005869CB"/>
    <w:rsid w:val="00591A7A"/>
    <w:rsid w:val="00594A4A"/>
    <w:rsid w:val="00595C83"/>
    <w:rsid w:val="005A23DE"/>
    <w:rsid w:val="005A34F2"/>
    <w:rsid w:val="005A3B7A"/>
    <w:rsid w:val="005A3FDE"/>
    <w:rsid w:val="005A7095"/>
    <w:rsid w:val="005A7371"/>
    <w:rsid w:val="005B25D4"/>
    <w:rsid w:val="005B5582"/>
    <w:rsid w:val="005B7E98"/>
    <w:rsid w:val="005C777D"/>
    <w:rsid w:val="005C7963"/>
    <w:rsid w:val="005D1F72"/>
    <w:rsid w:val="005D5AF7"/>
    <w:rsid w:val="005D6305"/>
    <w:rsid w:val="005D645B"/>
    <w:rsid w:val="005D6537"/>
    <w:rsid w:val="005E00AC"/>
    <w:rsid w:val="005E02A2"/>
    <w:rsid w:val="005E34DB"/>
    <w:rsid w:val="005E671F"/>
    <w:rsid w:val="005F13EA"/>
    <w:rsid w:val="005F2A62"/>
    <w:rsid w:val="005F424B"/>
    <w:rsid w:val="005F6172"/>
    <w:rsid w:val="005F6784"/>
    <w:rsid w:val="005F6C28"/>
    <w:rsid w:val="005F793D"/>
    <w:rsid w:val="00601AE6"/>
    <w:rsid w:val="00602BDA"/>
    <w:rsid w:val="006034D1"/>
    <w:rsid w:val="00603F05"/>
    <w:rsid w:val="00604044"/>
    <w:rsid w:val="00604C0B"/>
    <w:rsid w:val="006051F4"/>
    <w:rsid w:val="00606B4C"/>
    <w:rsid w:val="00606C90"/>
    <w:rsid w:val="00606E50"/>
    <w:rsid w:val="00607F83"/>
    <w:rsid w:val="006114F6"/>
    <w:rsid w:val="006123BA"/>
    <w:rsid w:val="00613268"/>
    <w:rsid w:val="00614D80"/>
    <w:rsid w:val="00622A4B"/>
    <w:rsid w:val="00623662"/>
    <w:rsid w:val="00624CBF"/>
    <w:rsid w:val="00627465"/>
    <w:rsid w:val="00630127"/>
    <w:rsid w:val="00630468"/>
    <w:rsid w:val="006312A7"/>
    <w:rsid w:val="00633340"/>
    <w:rsid w:val="00634067"/>
    <w:rsid w:val="00634813"/>
    <w:rsid w:val="00636B56"/>
    <w:rsid w:val="006401C5"/>
    <w:rsid w:val="00641E78"/>
    <w:rsid w:val="00643921"/>
    <w:rsid w:val="006445AD"/>
    <w:rsid w:val="00645AB1"/>
    <w:rsid w:val="00645D96"/>
    <w:rsid w:val="006500F9"/>
    <w:rsid w:val="00651CE7"/>
    <w:rsid w:val="00652E4D"/>
    <w:rsid w:val="00653ADC"/>
    <w:rsid w:val="00656332"/>
    <w:rsid w:val="00662073"/>
    <w:rsid w:val="00665843"/>
    <w:rsid w:val="00666BCF"/>
    <w:rsid w:val="00667FA9"/>
    <w:rsid w:val="0067031D"/>
    <w:rsid w:val="00673757"/>
    <w:rsid w:val="00675FFF"/>
    <w:rsid w:val="0068050A"/>
    <w:rsid w:val="00680607"/>
    <w:rsid w:val="00680B66"/>
    <w:rsid w:val="00682ADA"/>
    <w:rsid w:val="0068320F"/>
    <w:rsid w:val="00683441"/>
    <w:rsid w:val="00683C44"/>
    <w:rsid w:val="006852D3"/>
    <w:rsid w:val="00686849"/>
    <w:rsid w:val="0069042C"/>
    <w:rsid w:val="0069133E"/>
    <w:rsid w:val="00692D8B"/>
    <w:rsid w:val="006935A4"/>
    <w:rsid w:val="006A08A8"/>
    <w:rsid w:val="006A234A"/>
    <w:rsid w:val="006A387C"/>
    <w:rsid w:val="006A4EAA"/>
    <w:rsid w:val="006A7750"/>
    <w:rsid w:val="006A7DD5"/>
    <w:rsid w:val="006B0FF6"/>
    <w:rsid w:val="006B21F7"/>
    <w:rsid w:val="006B5986"/>
    <w:rsid w:val="006C016E"/>
    <w:rsid w:val="006C05D2"/>
    <w:rsid w:val="006C637A"/>
    <w:rsid w:val="006D2B12"/>
    <w:rsid w:val="006D3AD3"/>
    <w:rsid w:val="006D4592"/>
    <w:rsid w:val="006D4B4F"/>
    <w:rsid w:val="006D7643"/>
    <w:rsid w:val="006E3E14"/>
    <w:rsid w:val="006E425C"/>
    <w:rsid w:val="006E53CB"/>
    <w:rsid w:val="006E674C"/>
    <w:rsid w:val="006E6B25"/>
    <w:rsid w:val="006F35BB"/>
    <w:rsid w:val="006F3FBC"/>
    <w:rsid w:val="006F4998"/>
    <w:rsid w:val="007029BF"/>
    <w:rsid w:val="00703F55"/>
    <w:rsid w:val="00704051"/>
    <w:rsid w:val="007109EB"/>
    <w:rsid w:val="007111BD"/>
    <w:rsid w:val="00717630"/>
    <w:rsid w:val="00717C1D"/>
    <w:rsid w:val="007214D9"/>
    <w:rsid w:val="0072161F"/>
    <w:rsid w:val="007220D1"/>
    <w:rsid w:val="00722BD0"/>
    <w:rsid w:val="00724FD7"/>
    <w:rsid w:val="00726793"/>
    <w:rsid w:val="0073108B"/>
    <w:rsid w:val="00731775"/>
    <w:rsid w:val="0073186F"/>
    <w:rsid w:val="00734ADB"/>
    <w:rsid w:val="00735018"/>
    <w:rsid w:val="0073545E"/>
    <w:rsid w:val="007357EC"/>
    <w:rsid w:val="00740A3A"/>
    <w:rsid w:val="00741EB3"/>
    <w:rsid w:val="0074218F"/>
    <w:rsid w:val="00747734"/>
    <w:rsid w:val="00750DCC"/>
    <w:rsid w:val="00751CB6"/>
    <w:rsid w:val="00751D63"/>
    <w:rsid w:val="00752D06"/>
    <w:rsid w:val="00754225"/>
    <w:rsid w:val="00754406"/>
    <w:rsid w:val="00756B77"/>
    <w:rsid w:val="00757679"/>
    <w:rsid w:val="00760F63"/>
    <w:rsid w:val="00761EE1"/>
    <w:rsid w:val="0076247A"/>
    <w:rsid w:val="00763864"/>
    <w:rsid w:val="007648C8"/>
    <w:rsid w:val="0076498C"/>
    <w:rsid w:val="00764BD2"/>
    <w:rsid w:val="00765098"/>
    <w:rsid w:val="0076794D"/>
    <w:rsid w:val="007706DE"/>
    <w:rsid w:val="00772D19"/>
    <w:rsid w:val="00772FE3"/>
    <w:rsid w:val="0077320C"/>
    <w:rsid w:val="00773EA1"/>
    <w:rsid w:val="007742FD"/>
    <w:rsid w:val="00781C5F"/>
    <w:rsid w:val="00792322"/>
    <w:rsid w:val="00792F1D"/>
    <w:rsid w:val="00793874"/>
    <w:rsid w:val="0079503E"/>
    <w:rsid w:val="00795EFA"/>
    <w:rsid w:val="00796643"/>
    <w:rsid w:val="007967D6"/>
    <w:rsid w:val="007A3A38"/>
    <w:rsid w:val="007A4402"/>
    <w:rsid w:val="007A4E2E"/>
    <w:rsid w:val="007A68B1"/>
    <w:rsid w:val="007A6B66"/>
    <w:rsid w:val="007B09E7"/>
    <w:rsid w:val="007B0CE0"/>
    <w:rsid w:val="007B1AED"/>
    <w:rsid w:val="007B3E7D"/>
    <w:rsid w:val="007B4723"/>
    <w:rsid w:val="007B51D9"/>
    <w:rsid w:val="007B60A1"/>
    <w:rsid w:val="007C0A9F"/>
    <w:rsid w:val="007C0D99"/>
    <w:rsid w:val="007C2DE7"/>
    <w:rsid w:val="007C2F48"/>
    <w:rsid w:val="007C78A7"/>
    <w:rsid w:val="007D5210"/>
    <w:rsid w:val="007D53E4"/>
    <w:rsid w:val="007E05FC"/>
    <w:rsid w:val="007E2F2A"/>
    <w:rsid w:val="007E558A"/>
    <w:rsid w:val="007E704A"/>
    <w:rsid w:val="007E7E40"/>
    <w:rsid w:val="007F0B81"/>
    <w:rsid w:val="007F2657"/>
    <w:rsid w:val="007F2BC9"/>
    <w:rsid w:val="007F5CF5"/>
    <w:rsid w:val="007F709A"/>
    <w:rsid w:val="007F7E6E"/>
    <w:rsid w:val="008005D6"/>
    <w:rsid w:val="00800C2A"/>
    <w:rsid w:val="00803209"/>
    <w:rsid w:val="0080747D"/>
    <w:rsid w:val="00807C79"/>
    <w:rsid w:val="008113AB"/>
    <w:rsid w:val="00816BF8"/>
    <w:rsid w:val="00817219"/>
    <w:rsid w:val="00817BCE"/>
    <w:rsid w:val="00820DC9"/>
    <w:rsid w:val="008216FF"/>
    <w:rsid w:val="00821968"/>
    <w:rsid w:val="00822736"/>
    <w:rsid w:val="00827AF4"/>
    <w:rsid w:val="00827B4D"/>
    <w:rsid w:val="00830865"/>
    <w:rsid w:val="008309AA"/>
    <w:rsid w:val="008358BD"/>
    <w:rsid w:val="00842687"/>
    <w:rsid w:val="008439F8"/>
    <w:rsid w:val="00851A0A"/>
    <w:rsid w:val="0085231E"/>
    <w:rsid w:val="00852D7F"/>
    <w:rsid w:val="008530C2"/>
    <w:rsid w:val="008619A4"/>
    <w:rsid w:val="008672EF"/>
    <w:rsid w:val="00873527"/>
    <w:rsid w:val="00873BAD"/>
    <w:rsid w:val="00873EF0"/>
    <w:rsid w:val="00881EC9"/>
    <w:rsid w:val="008835A3"/>
    <w:rsid w:val="00884354"/>
    <w:rsid w:val="00884766"/>
    <w:rsid w:val="00886864"/>
    <w:rsid w:val="00886F7F"/>
    <w:rsid w:val="008906E9"/>
    <w:rsid w:val="00892052"/>
    <w:rsid w:val="00892D45"/>
    <w:rsid w:val="00896199"/>
    <w:rsid w:val="00897DCC"/>
    <w:rsid w:val="008A1402"/>
    <w:rsid w:val="008A1A13"/>
    <w:rsid w:val="008A1DA8"/>
    <w:rsid w:val="008A21A5"/>
    <w:rsid w:val="008A344C"/>
    <w:rsid w:val="008A6FC8"/>
    <w:rsid w:val="008B12CF"/>
    <w:rsid w:val="008B2226"/>
    <w:rsid w:val="008B50AE"/>
    <w:rsid w:val="008B59AA"/>
    <w:rsid w:val="008B62DE"/>
    <w:rsid w:val="008B75CF"/>
    <w:rsid w:val="008C1D45"/>
    <w:rsid w:val="008C3DD9"/>
    <w:rsid w:val="008C5910"/>
    <w:rsid w:val="008C62C2"/>
    <w:rsid w:val="008D04CD"/>
    <w:rsid w:val="008D33EB"/>
    <w:rsid w:val="008D3B39"/>
    <w:rsid w:val="008D446D"/>
    <w:rsid w:val="008D5BC9"/>
    <w:rsid w:val="008D735B"/>
    <w:rsid w:val="008D765F"/>
    <w:rsid w:val="008E13EE"/>
    <w:rsid w:val="008E2BAB"/>
    <w:rsid w:val="008E369C"/>
    <w:rsid w:val="008E38EE"/>
    <w:rsid w:val="008E3A14"/>
    <w:rsid w:val="008E3F08"/>
    <w:rsid w:val="008E43BF"/>
    <w:rsid w:val="008E445E"/>
    <w:rsid w:val="008E4755"/>
    <w:rsid w:val="008E49CA"/>
    <w:rsid w:val="008E4B9E"/>
    <w:rsid w:val="008E79B7"/>
    <w:rsid w:val="008F0169"/>
    <w:rsid w:val="008F01D6"/>
    <w:rsid w:val="008F166B"/>
    <w:rsid w:val="008F44FF"/>
    <w:rsid w:val="008F470A"/>
    <w:rsid w:val="008F4D48"/>
    <w:rsid w:val="008F5707"/>
    <w:rsid w:val="008F5DCD"/>
    <w:rsid w:val="008F612A"/>
    <w:rsid w:val="0090185B"/>
    <w:rsid w:val="00902C10"/>
    <w:rsid w:val="009043A0"/>
    <w:rsid w:val="00904A51"/>
    <w:rsid w:val="00905980"/>
    <w:rsid w:val="00906876"/>
    <w:rsid w:val="0091788F"/>
    <w:rsid w:val="00920BEE"/>
    <w:rsid w:val="00923631"/>
    <w:rsid w:val="00923DF4"/>
    <w:rsid w:val="00924BA2"/>
    <w:rsid w:val="00924F08"/>
    <w:rsid w:val="00926D92"/>
    <w:rsid w:val="0092724C"/>
    <w:rsid w:val="009273CF"/>
    <w:rsid w:val="0092769C"/>
    <w:rsid w:val="00933B12"/>
    <w:rsid w:val="0093666D"/>
    <w:rsid w:val="00937BBC"/>
    <w:rsid w:val="00941301"/>
    <w:rsid w:val="0094495A"/>
    <w:rsid w:val="009456A8"/>
    <w:rsid w:val="00945752"/>
    <w:rsid w:val="0094585E"/>
    <w:rsid w:val="00945F45"/>
    <w:rsid w:val="009478AA"/>
    <w:rsid w:val="009525AF"/>
    <w:rsid w:val="00952EE5"/>
    <w:rsid w:val="009544FB"/>
    <w:rsid w:val="00954AF1"/>
    <w:rsid w:val="00960B58"/>
    <w:rsid w:val="00960EA3"/>
    <w:rsid w:val="00962511"/>
    <w:rsid w:val="00964267"/>
    <w:rsid w:val="009648F6"/>
    <w:rsid w:val="00965F22"/>
    <w:rsid w:val="009706BA"/>
    <w:rsid w:val="009739C7"/>
    <w:rsid w:val="009741FA"/>
    <w:rsid w:val="00974DCE"/>
    <w:rsid w:val="009757C2"/>
    <w:rsid w:val="00976852"/>
    <w:rsid w:val="00976DF4"/>
    <w:rsid w:val="009802FE"/>
    <w:rsid w:val="00981765"/>
    <w:rsid w:val="009819BC"/>
    <w:rsid w:val="009824BA"/>
    <w:rsid w:val="00982516"/>
    <w:rsid w:val="0098263D"/>
    <w:rsid w:val="00982BBA"/>
    <w:rsid w:val="00982D48"/>
    <w:rsid w:val="009852DE"/>
    <w:rsid w:val="00986E90"/>
    <w:rsid w:val="00990C93"/>
    <w:rsid w:val="00991923"/>
    <w:rsid w:val="00991AD5"/>
    <w:rsid w:val="00992FBA"/>
    <w:rsid w:val="00997163"/>
    <w:rsid w:val="009977E1"/>
    <w:rsid w:val="009A0F83"/>
    <w:rsid w:val="009A14BF"/>
    <w:rsid w:val="009A2B6B"/>
    <w:rsid w:val="009A719D"/>
    <w:rsid w:val="009B38AE"/>
    <w:rsid w:val="009B616D"/>
    <w:rsid w:val="009B698D"/>
    <w:rsid w:val="009C0808"/>
    <w:rsid w:val="009C275F"/>
    <w:rsid w:val="009C3FEE"/>
    <w:rsid w:val="009C6982"/>
    <w:rsid w:val="009D20C4"/>
    <w:rsid w:val="009D27FE"/>
    <w:rsid w:val="009D5F7B"/>
    <w:rsid w:val="009D6102"/>
    <w:rsid w:val="009D63E5"/>
    <w:rsid w:val="009D7C55"/>
    <w:rsid w:val="009E0149"/>
    <w:rsid w:val="009E13C1"/>
    <w:rsid w:val="009E1683"/>
    <w:rsid w:val="009E2EE9"/>
    <w:rsid w:val="009E3A93"/>
    <w:rsid w:val="009E48C6"/>
    <w:rsid w:val="009E535D"/>
    <w:rsid w:val="009E7C5E"/>
    <w:rsid w:val="009F0F01"/>
    <w:rsid w:val="009F1A30"/>
    <w:rsid w:val="009F1BAA"/>
    <w:rsid w:val="009F2C5E"/>
    <w:rsid w:val="009F2C8A"/>
    <w:rsid w:val="009F2F38"/>
    <w:rsid w:val="009F5450"/>
    <w:rsid w:val="00A00629"/>
    <w:rsid w:val="00A03AEC"/>
    <w:rsid w:val="00A03B12"/>
    <w:rsid w:val="00A074DE"/>
    <w:rsid w:val="00A17422"/>
    <w:rsid w:val="00A22908"/>
    <w:rsid w:val="00A230BB"/>
    <w:rsid w:val="00A23F79"/>
    <w:rsid w:val="00A24C87"/>
    <w:rsid w:val="00A264F9"/>
    <w:rsid w:val="00A26C3B"/>
    <w:rsid w:val="00A31A49"/>
    <w:rsid w:val="00A326D0"/>
    <w:rsid w:val="00A32F47"/>
    <w:rsid w:val="00A340DB"/>
    <w:rsid w:val="00A352F5"/>
    <w:rsid w:val="00A35ED4"/>
    <w:rsid w:val="00A37DF9"/>
    <w:rsid w:val="00A42EE1"/>
    <w:rsid w:val="00A4405A"/>
    <w:rsid w:val="00A45F7B"/>
    <w:rsid w:val="00A47553"/>
    <w:rsid w:val="00A51CDA"/>
    <w:rsid w:val="00A53487"/>
    <w:rsid w:val="00A538AD"/>
    <w:rsid w:val="00A54937"/>
    <w:rsid w:val="00A568D7"/>
    <w:rsid w:val="00A572DC"/>
    <w:rsid w:val="00A57E5D"/>
    <w:rsid w:val="00A608FE"/>
    <w:rsid w:val="00A62846"/>
    <w:rsid w:val="00A642B9"/>
    <w:rsid w:val="00A64FB6"/>
    <w:rsid w:val="00A6758E"/>
    <w:rsid w:val="00A67EBF"/>
    <w:rsid w:val="00A701DE"/>
    <w:rsid w:val="00A72787"/>
    <w:rsid w:val="00A74D3A"/>
    <w:rsid w:val="00A75D89"/>
    <w:rsid w:val="00A763F9"/>
    <w:rsid w:val="00A77213"/>
    <w:rsid w:val="00A8118F"/>
    <w:rsid w:val="00A827B4"/>
    <w:rsid w:val="00A8364F"/>
    <w:rsid w:val="00A84156"/>
    <w:rsid w:val="00A90300"/>
    <w:rsid w:val="00A915A0"/>
    <w:rsid w:val="00A92AE8"/>
    <w:rsid w:val="00A96770"/>
    <w:rsid w:val="00A96C54"/>
    <w:rsid w:val="00A97D82"/>
    <w:rsid w:val="00AA1366"/>
    <w:rsid w:val="00AA1922"/>
    <w:rsid w:val="00AA364C"/>
    <w:rsid w:val="00AA6172"/>
    <w:rsid w:val="00AA69A4"/>
    <w:rsid w:val="00AA72BB"/>
    <w:rsid w:val="00AB1776"/>
    <w:rsid w:val="00AB4681"/>
    <w:rsid w:val="00AB57E8"/>
    <w:rsid w:val="00AB5EE3"/>
    <w:rsid w:val="00AC1EE2"/>
    <w:rsid w:val="00AC2458"/>
    <w:rsid w:val="00AC64C6"/>
    <w:rsid w:val="00AC7AC8"/>
    <w:rsid w:val="00AD1EC9"/>
    <w:rsid w:val="00AD488F"/>
    <w:rsid w:val="00AD49A8"/>
    <w:rsid w:val="00AD50F2"/>
    <w:rsid w:val="00AD6979"/>
    <w:rsid w:val="00AD7B24"/>
    <w:rsid w:val="00AE17A2"/>
    <w:rsid w:val="00AE3FD4"/>
    <w:rsid w:val="00AF53BE"/>
    <w:rsid w:val="00AF6C13"/>
    <w:rsid w:val="00B00F0B"/>
    <w:rsid w:val="00B0275E"/>
    <w:rsid w:val="00B02B79"/>
    <w:rsid w:val="00B107C1"/>
    <w:rsid w:val="00B109C1"/>
    <w:rsid w:val="00B126E4"/>
    <w:rsid w:val="00B12ED5"/>
    <w:rsid w:val="00B162F8"/>
    <w:rsid w:val="00B163BC"/>
    <w:rsid w:val="00B167CF"/>
    <w:rsid w:val="00B219E1"/>
    <w:rsid w:val="00B227A4"/>
    <w:rsid w:val="00B24EB6"/>
    <w:rsid w:val="00B25E53"/>
    <w:rsid w:val="00B264DE"/>
    <w:rsid w:val="00B3352E"/>
    <w:rsid w:val="00B336F8"/>
    <w:rsid w:val="00B34B06"/>
    <w:rsid w:val="00B34F9D"/>
    <w:rsid w:val="00B41983"/>
    <w:rsid w:val="00B43774"/>
    <w:rsid w:val="00B442ED"/>
    <w:rsid w:val="00B44B2E"/>
    <w:rsid w:val="00B467B9"/>
    <w:rsid w:val="00B46AF4"/>
    <w:rsid w:val="00B51A23"/>
    <w:rsid w:val="00B549C0"/>
    <w:rsid w:val="00B5722F"/>
    <w:rsid w:val="00B61D8C"/>
    <w:rsid w:val="00B6231B"/>
    <w:rsid w:val="00B631EA"/>
    <w:rsid w:val="00B64B8C"/>
    <w:rsid w:val="00B672DA"/>
    <w:rsid w:val="00B708EA"/>
    <w:rsid w:val="00B7160E"/>
    <w:rsid w:val="00B723B5"/>
    <w:rsid w:val="00B739AF"/>
    <w:rsid w:val="00B73B02"/>
    <w:rsid w:val="00B7519A"/>
    <w:rsid w:val="00B821CD"/>
    <w:rsid w:val="00B83860"/>
    <w:rsid w:val="00B8646B"/>
    <w:rsid w:val="00B877E9"/>
    <w:rsid w:val="00B90051"/>
    <w:rsid w:val="00B9190E"/>
    <w:rsid w:val="00B923BC"/>
    <w:rsid w:val="00B92424"/>
    <w:rsid w:val="00B926B3"/>
    <w:rsid w:val="00B93586"/>
    <w:rsid w:val="00B93EEE"/>
    <w:rsid w:val="00B9451F"/>
    <w:rsid w:val="00B94DDC"/>
    <w:rsid w:val="00B95655"/>
    <w:rsid w:val="00B9679F"/>
    <w:rsid w:val="00B97F94"/>
    <w:rsid w:val="00BA02E5"/>
    <w:rsid w:val="00BA080E"/>
    <w:rsid w:val="00BA1F2D"/>
    <w:rsid w:val="00BA53FC"/>
    <w:rsid w:val="00BA551F"/>
    <w:rsid w:val="00BB1558"/>
    <w:rsid w:val="00BB18F7"/>
    <w:rsid w:val="00BB393F"/>
    <w:rsid w:val="00BB40E5"/>
    <w:rsid w:val="00BB4D64"/>
    <w:rsid w:val="00BC184E"/>
    <w:rsid w:val="00BC3F39"/>
    <w:rsid w:val="00BC6880"/>
    <w:rsid w:val="00BC7A77"/>
    <w:rsid w:val="00BD262F"/>
    <w:rsid w:val="00BD5798"/>
    <w:rsid w:val="00BD7DD3"/>
    <w:rsid w:val="00BE258C"/>
    <w:rsid w:val="00BE3CD2"/>
    <w:rsid w:val="00BE5FE2"/>
    <w:rsid w:val="00BE7D51"/>
    <w:rsid w:val="00BF27A6"/>
    <w:rsid w:val="00BF7A44"/>
    <w:rsid w:val="00C0166D"/>
    <w:rsid w:val="00C025C6"/>
    <w:rsid w:val="00C038CF"/>
    <w:rsid w:val="00C04331"/>
    <w:rsid w:val="00C071A0"/>
    <w:rsid w:val="00C0742A"/>
    <w:rsid w:val="00C10140"/>
    <w:rsid w:val="00C12D7D"/>
    <w:rsid w:val="00C13B2B"/>
    <w:rsid w:val="00C1401A"/>
    <w:rsid w:val="00C25E55"/>
    <w:rsid w:val="00C2630D"/>
    <w:rsid w:val="00C30BA7"/>
    <w:rsid w:val="00C33AC6"/>
    <w:rsid w:val="00C33DC4"/>
    <w:rsid w:val="00C35510"/>
    <w:rsid w:val="00C36717"/>
    <w:rsid w:val="00C37B83"/>
    <w:rsid w:val="00C45BA2"/>
    <w:rsid w:val="00C51477"/>
    <w:rsid w:val="00C52F0B"/>
    <w:rsid w:val="00C543F5"/>
    <w:rsid w:val="00C55C1D"/>
    <w:rsid w:val="00C56760"/>
    <w:rsid w:val="00C603C0"/>
    <w:rsid w:val="00C6257C"/>
    <w:rsid w:val="00C63DD8"/>
    <w:rsid w:val="00C64E1D"/>
    <w:rsid w:val="00C66C93"/>
    <w:rsid w:val="00C708D7"/>
    <w:rsid w:val="00C738C0"/>
    <w:rsid w:val="00C73B12"/>
    <w:rsid w:val="00C753FA"/>
    <w:rsid w:val="00C7776C"/>
    <w:rsid w:val="00C77A3E"/>
    <w:rsid w:val="00C81196"/>
    <w:rsid w:val="00C82FDE"/>
    <w:rsid w:val="00C843FD"/>
    <w:rsid w:val="00C85B52"/>
    <w:rsid w:val="00C861F7"/>
    <w:rsid w:val="00C91969"/>
    <w:rsid w:val="00C91A93"/>
    <w:rsid w:val="00C91B9A"/>
    <w:rsid w:val="00C91E95"/>
    <w:rsid w:val="00C9383C"/>
    <w:rsid w:val="00CA08B7"/>
    <w:rsid w:val="00CA0E80"/>
    <w:rsid w:val="00CA0ED9"/>
    <w:rsid w:val="00CB082C"/>
    <w:rsid w:val="00CB108B"/>
    <w:rsid w:val="00CB4291"/>
    <w:rsid w:val="00CC3405"/>
    <w:rsid w:val="00CC35D1"/>
    <w:rsid w:val="00CC3E87"/>
    <w:rsid w:val="00CC585E"/>
    <w:rsid w:val="00CD059D"/>
    <w:rsid w:val="00CD0DEA"/>
    <w:rsid w:val="00CD2B09"/>
    <w:rsid w:val="00CD41D9"/>
    <w:rsid w:val="00CD470F"/>
    <w:rsid w:val="00CD4E91"/>
    <w:rsid w:val="00CD61D1"/>
    <w:rsid w:val="00CE2321"/>
    <w:rsid w:val="00CE78DE"/>
    <w:rsid w:val="00CF2F14"/>
    <w:rsid w:val="00CF3348"/>
    <w:rsid w:val="00CF3ADE"/>
    <w:rsid w:val="00CF6D9E"/>
    <w:rsid w:val="00CF79C0"/>
    <w:rsid w:val="00D01BFD"/>
    <w:rsid w:val="00D032A2"/>
    <w:rsid w:val="00D05E62"/>
    <w:rsid w:val="00D0690D"/>
    <w:rsid w:val="00D11422"/>
    <w:rsid w:val="00D115C7"/>
    <w:rsid w:val="00D11ADD"/>
    <w:rsid w:val="00D13853"/>
    <w:rsid w:val="00D14E90"/>
    <w:rsid w:val="00D155C8"/>
    <w:rsid w:val="00D22C5B"/>
    <w:rsid w:val="00D2372E"/>
    <w:rsid w:val="00D24B70"/>
    <w:rsid w:val="00D26C40"/>
    <w:rsid w:val="00D27134"/>
    <w:rsid w:val="00D27A79"/>
    <w:rsid w:val="00D27D8E"/>
    <w:rsid w:val="00D31357"/>
    <w:rsid w:val="00D36344"/>
    <w:rsid w:val="00D365A5"/>
    <w:rsid w:val="00D40ED5"/>
    <w:rsid w:val="00D41B01"/>
    <w:rsid w:val="00D41D95"/>
    <w:rsid w:val="00D431F0"/>
    <w:rsid w:val="00D43449"/>
    <w:rsid w:val="00D44B5F"/>
    <w:rsid w:val="00D45775"/>
    <w:rsid w:val="00D47C4C"/>
    <w:rsid w:val="00D544EE"/>
    <w:rsid w:val="00D5682C"/>
    <w:rsid w:val="00D60C5B"/>
    <w:rsid w:val="00D63FBD"/>
    <w:rsid w:val="00D64608"/>
    <w:rsid w:val="00D646CA"/>
    <w:rsid w:val="00D67BB7"/>
    <w:rsid w:val="00D70804"/>
    <w:rsid w:val="00D73F4A"/>
    <w:rsid w:val="00D747B0"/>
    <w:rsid w:val="00D7541C"/>
    <w:rsid w:val="00D755B7"/>
    <w:rsid w:val="00D76E25"/>
    <w:rsid w:val="00D76F40"/>
    <w:rsid w:val="00D7732B"/>
    <w:rsid w:val="00D81B5C"/>
    <w:rsid w:val="00D82F67"/>
    <w:rsid w:val="00D83934"/>
    <w:rsid w:val="00D8692C"/>
    <w:rsid w:val="00D86AE4"/>
    <w:rsid w:val="00D86C7F"/>
    <w:rsid w:val="00D8772A"/>
    <w:rsid w:val="00D932CD"/>
    <w:rsid w:val="00D940FF"/>
    <w:rsid w:val="00D942B5"/>
    <w:rsid w:val="00D95ACF"/>
    <w:rsid w:val="00D97585"/>
    <w:rsid w:val="00D979E2"/>
    <w:rsid w:val="00DA13D9"/>
    <w:rsid w:val="00DA2600"/>
    <w:rsid w:val="00DA3B2E"/>
    <w:rsid w:val="00DA6BD1"/>
    <w:rsid w:val="00DA7644"/>
    <w:rsid w:val="00DA789F"/>
    <w:rsid w:val="00DB148A"/>
    <w:rsid w:val="00DB1750"/>
    <w:rsid w:val="00DC06E4"/>
    <w:rsid w:val="00DC3964"/>
    <w:rsid w:val="00DC3D55"/>
    <w:rsid w:val="00DC45B4"/>
    <w:rsid w:val="00DC5D00"/>
    <w:rsid w:val="00DC6699"/>
    <w:rsid w:val="00DC6EC8"/>
    <w:rsid w:val="00DC7224"/>
    <w:rsid w:val="00DD0552"/>
    <w:rsid w:val="00DD549E"/>
    <w:rsid w:val="00DD7841"/>
    <w:rsid w:val="00DD7D3F"/>
    <w:rsid w:val="00DE0B22"/>
    <w:rsid w:val="00DE19CC"/>
    <w:rsid w:val="00DE4293"/>
    <w:rsid w:val="00DE5802"/>
    <w:rsid w:val="00DE58D0"/>
    <w:rsid w:val="00DF2B9E"/>
    <w:rsid w:val="00DF35EE"/>
    <w:rsid w:val="00DF4141"/>
    <w:rsid w:val="00DF5518"/>
    <w:rsid w:val="00DF5912"/>
    <w:rsid w:val="00DF5E3E"/>
    <w:rsid w:val="00DF76F4"/>
    <w:rsid w:val="00E002D9"/>
    <w:rsid w:val="00E007B1"/>
    <w:rsid w:val="00E022D5"/>
    <w:rsid w:val="00E04360"/>
    <w:rsid w:val="00E05817"/>
    <w:rsid w:val="00E05B10"/>
    <w:rsid w:val="00E068D5"/>
    <w:rsid w:val="00E06CCF"/>
    <w:rsid w:val="00E06F63"/>
    <w:rsid w:val="00E1113D"/>
    <w:rsid w:val="00E12028"/>
    <w:rsid w:val="00E12FD0"/>
    <w:rsid w:val="00E153E8"/>
    <w:rsid w:val="00E17B7E"/>
    <w:rsid w:val="00E20BA5"/>
    <w:rsid w:val="00E24111"/>
    <w:rsid w:val="00E25E09"/>
    <w:rsid w:val="00E31509"/>
    <w:rsid w:val="00E32E29"/>
    <w:rsid w:val="00E33A65"/>
    <w:rsid w:val="00E351DA"/>
    <w:rsid w:val="00E372AE"/>
    <w:rsid w:val="00E37B33"/>
    <w:rsid w:val="00E42FAC"/>
    <w:rsid w:val="00E44ACB"/>
    <w:rsid w:val="00E46BAA"/>
    <w:rsid w:val="00E5001B"/>
    <w:rsid w:val="00E53817"/>
    <w:rsid w:val="00E53DAB"/>
    <w:rsid w:val="00E54075"/>
    <w:rsid w:val="00E540B1"/>
    <w:rsid w:val="00E5419B"/>
    <w:rsid w:val="00E6098A"/>
    <w:rsid w:val="00E61869"/>
    <w:rsid w:val="00E66D84"/>
    <w:rsid w:val="00E72F1B"/>
    <w:rsid w:val="00E7332E"/>
    <w:rsid w:val="00E77F0F"/>
    <w:rsid w:val="00E81CB0"/>
    <w:rsid w:val="00E82747"/>
    <w:rsid w:val="00E82829"/>
    <w:rsid w:val="00E932AE"/>
    <w:rsid w:val="00E94BF0"/>
    <w:rsid w:val="00E94CF3"/>
    <w:rsid w:val="00E95FEA"/>
    <w:rsid w:val="00E96E50"/>
    <w:rsid w:val="00EA0A30"/>
    <w:rsid w:val="00EA1B19"/>
    <w:rsid w:val="00EA35DB"/>
    <w:rsid w:val="00EA5C1F"/>
    <w:rsid w:val="00EB0565"/>
    <w:rsid w:val="00EB0B9A"/>
    <w:rsid w:val="00EB224A"/>
    <w:rsid w:val="00EB2A5A"/>
    <w:rsid w:val="00EB32F6"/>
    <w:rsid w:val="00EB4325"/>
    <w:rsid w:val="00EB58A5"/>
    <w:rsid w:val="00EB5B2F"/>
    <w:rsid w:val="00EB6BF7"/>
    <w:rsid w:val="00EB79D1"/>
    <w:rsid w:val="00EC0208"/>
    <w:rsid w:val="00EC07BC"/>
    <w:rsid w:val="00EC1A7E"/>
    <w:rsid w:val="00EC1C39"/>
    <w:rsid w:val="00EC5924"/>
    <w:rsid w:val="00ED348E"/>
    <w:rsid w:val="00ED39E1"/>
    <w:rsid w:val="00ED4BA7"/>
    <w:rsid w:val="00ED53B8"/>
    <w:rsid w:val="00ED7C37"/>
    <w:rsid w:val="00EE1BB6"/>
    <w:rsid w:val="00EE33E8"/>
    <w:rsid w:val="00EE619A"/>
    <w:rsid w:val="00EE662F"/>
    <w:rsid w:val="00EE6A16"/>
    <w:rsid w:val="00EE7D35"/>
    <w:rsid w:val="00EF07E9"/>
    <w:rsid w:val="00EF150D"/>
    <w:rsid w:val="00EF249F"/>
    <w:rsid w:val="00EF30D5"/>
    <w:rsid w:val="00EF34DE"/>
    <w:rsid w:val="00EF38CF"/>
    <w:rsid w:val="00EF466A"/>
    <w:rsid w:val="00EF7DAE"/>
    <w:rsid w:val="00F003DC"/>
    <w:rsid w:val="00F01600"/>
    <w:rsid w:val="00F0220D"/>
    <w:rsid w:val="00F034BE"/>
    <w:rsid w:val="00F0588F"/>
    <w:rsid w:val="00F05C73"/>
    <w:rsid w:val="00F10793"/>
    <w:rsid w:val="00F124C6"/>
    <w:rsid w:val="00F13A15"/>
    <w:rsid w:val="00F17124"/>
    <w:rsid w:val="00F219E1"/>
    <w:rsid w:val="00F21D42"/>
    <w:rsid w:val="00F2207A"/>
    <w:rsid w:val="00F22B16"/>
    <w:rsid w:val="00F2776E"/>
    <w:rsid w:val="00F30F32"/>
    <w:rsid w:val="00F356B5"/>
    <w:rsid w:val="00F409E9"/>
    <w:rsid w:val="00F42563"/>
    <w:rsid w:val="00F43CDF"/>
    <w:rsid w:val="00F468D3"/>
    <w:rsid w:val="00F518EB"/>
    <w:rsid w:val="00F52139"/>
    <w:rsid w:val="00F52657"/>
    <w:rsid w:val="00F54DD0"/>
    <w:rsid w:val="00F5515D"/>
    <w:rsid w:val="00F56B4B"/>
    <w:rsid w:val="00F60357"/>
    <w:rsid w:val="00F619AB"/>
    <w:rsid w:val="00F67355"/>
    <w:rsid w:val="00F70822"/>
    <w:rsid w:val="00F74A0B"/>
    <w:rsid w:val="00F85ABA"/>
    <w:rsid w:val="00F92B0C"/>
    <w:rsid w:val="00F92C4E"/>
    <w:rsid w:val="00F93D9B"/>
    <w:rsid w:val="00F95AB0"/>
    <w:rsid w:val="00F95EF3"/>
    <w:rsid w:val="00F9604D"/>
    <w:rsid w:val="00F96176"/>
    <w:rsid w:val="00F96EFE"/>
    <w:rsid w:val="00F97123"/>
    <w:rsid w:val="00FA02A8"/>
    <w:rsid w:val="00FA2E0C"/>
    <w:rsid w:val="00FA3413"/>
    <w:rsid w:val="00FA3BBA"/>
    <w:rsid w:val="00FA4C7A"/>
    <w:rsid w:val="00FA5091"/>
    <w:rsid w:val="00FA6A1B"/>
    <w:rsid w:val="00FB17E5"/>
    <w:rsid w:val="00FB308A"/>
    <w:rsid w:val="00FB412C"/>
    <w:rsid w:val="00FB431D"/>
    <w:rsid w:val="00FB4D5A"/>
    <w:rsid w:val="00FC3F76"/>
    <w:rsid w:val="00FC657D"/>
    <w:rsid w:val="00FD1E2E"/>
    <w:rsid w:val="00FD5030"/>
    <w:rsid w:val="00FE1721"/>
    <w:rsid w:val="00FE6512"/>
    <w:rsid w:val="00FE75A7"/>
    <w:rsid w:val="00FF0BC9"/>
    <w:rsid w:val="00FF1864"/>
    <w:rsid w:val="00FF1D36"/>
    <w:rsid w:val="00FF30FB"/>
    <w:rsid w:val="00FF4662"/>
    <w:rsid w:val="00FF4FDF"/>
    <w:rsid w:val="00FF59F3"/>
    <w:rsid w:val="00FF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08"/>
    <w:pPr>
      <w:jc w:val="both"/>
    </w:pPr>
    <w:rPr>
      <w:rFonts w:ascii="Times New Roman" w:hAnsi="Times New Roman"/>
      <w:sz w:val="22"/>
      <w:szCs w:val="22"/>
      <w:lang w:eastAsia="en-US"/>
    </w:rPr>
  </w:style>
  <w:style w:type="paragraph" w:styleId="Heading1">
    <w:name w:val="heading 1"/>
    <w:basedOn w:val="Normal"/>
    <w:next w:val="Normal"/>
    <w:link w:val="Heading1Char"/>
    <w:qFormat/>
    <w:locked/>
    <w:rsid w:val="00D115C7"/>
    <w:pPr>
      <w:keepNext/>
      <w:spacing w:before="240" w:after="60"/>
      <w:jc w:val="left"/>
      <w:outlineLvl w:val="0"/>
    </w:pPr>
    <w:rPr>
      <w:rFonts w:ascii="Arial" w:eastAsia="Times New Roman" w:hAnsi="Arial" w:cs="Arial"/>
      <w:b/>
      <w:bCs/>
      <w:kern w:val="32"/>
      <w:sz w:val="32"/>
      <w:szCs w:val="32"/>
      <w:lang w:eastAsia="ro-RO"/>
    </w:rPr>
  </w:style>
  <w:style w:type="paragraph" w:styleId="Heading2">
    <w:name w:val="heading 2"/>
    <w:basedOn w:val="Normal"/>
    <w:next w:val="Normal"/>
    <w:link w:val="Heading2Char"/>
    <w:unhideWhenUsed/>
    <w:qFormat/>
    <w:locked/>
    <w:rsid w:val="002E4257"/>
    <w:pPr>
      <w:keepNext/>
      <w:spacing w:before="240" w:after="60"/>
      <w:jc w:val="left"/>
      <w:outlineLvl w:val="1"/>
    </w:pPr>
    <w:rPr>
      <w:rFonts w:ascii="Cambria" w:eastAsia="Times New Roman" w:hAnsi="Cambria"/>
      <w:b/>
      <w:bCs/>
      <w:i/>
      <w:iCs/>
      <w:sz w:val="28"/>
      <w:szCs w:val="28"/>
      <w:lang w:eastAsia="ro-RO"/>
    </w:rPr>
  </w:style>
  <w:style w:type="paragraph" w:styleId="Heading4">
    <w:name w:val="heading 4"/>
    <w:basedOn w:val="Normal"/>
    <w:next w:val="Normal"/>
    <w:link w:val="Heading4Char"/>
    <w:uiPriority w:val="99"/>
    <w:qFormat/>
    <w:rsid w:val="00EC0208"/>
    <w:pPr>
      <w:keepNext/>
      <w:spacing w:before="240" w:after="60"/>
      <w:jc w:val="left"/>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C0208"/>
    <w:rPr>
      <w:rFonts w:ascii="Times New Roman" w:hAnsi="Times New Roman" w:cs="Times New Roman"/>
      <w:b/>
      <w:bCs/>
      <w:sz w:val="28"/>
      <w:szCs w:val="28"/>
      <w:lang w:val="en-US"/>
    </w:rPr>
  </w:style>
  <w:style w:type="table" w:styleId="TableGrid">
    <w:name w:val="Table Grid"/>
    <w:basedOn w:val="TableNormal"/>
    <w:uiPriority w:val="99"/>
    <w:rsid w:val="00EC02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link w:val="DefaultTextChar"/>
    <w:rsid w:val="00EC0208"/>
    <w:pPr>
      <w:jc w:val="left"/>
    </w:pPr>
    <w:rPr>
      <w:rFonts w:eastAsia="Times New Roman"/>
      <w:sz w:val="24"/>
      <w:szCs w:val="20"/>
      <w:lang w:eastAsia="ro-RO"/>
    </w:rPr>
  </w:style>
  <w:style w:type="character" w:customStyle="1" w:styleId="DefaultTextChar">
    <w:name w:val="Default Text Char"/>
    <w:basedOn w:val="DefaultParagraphFont"/>
    <w:link w:val="DefaultText"/>
    <w:locked/>
    <w:rsid w:val="00EC0208"/>
    <w:rPr>
      <w:rFonts w:ascii="Times New Roman" w:hAnsi="Times New Roman" w:cs="Times New Roman"/>
      <w:sz w:val="20"/>
      <w:szCs w:val="20"/>
      <w:lang w:eastAsia="ro-RO"/>
    </w:rPr>
  </w:style>
  <w:style w:type="paragraph" w:styleId="BodyText2">
    <w:name w:val="Body Text 2"/>
    <w:basedOn w:val="Normal"/>
    <w:link w:val="BodyText2Char"/>
    <w:uiPriority w:val="99"/>
    <w:rsid w:val="00EC0208"/>
    <w:pPr>
      <w:spacing w:after="120" w:line="480" w:lineRule="auto"/>
      <w:jc w:val="left"/>
    </w:pPr>
    <w:rPr>
      <w:rFonts w:eastAsia="Times New Roman"/>
      <w:sz w:val="24"/>
      <w:szCs w:val="24"/>
      <w:lang w:val="en-US"/>
    </w:rPr>
  </w:style>
  <w:style w:type="character" w:customStyle="1" w:styleId="BodyText2Char">
    <w:name w:val="Body Text 2 Char"/>
    <w:basedOn w:val="DefaultParagraphFont"/>
    <w:link w:val="BodyText2"/>
    <w:uiPriority w:val="99"/>
    <w:locked/>
    <w:rsid w:val="00EC0208"/>
    <w:rPr>
      <w:rFonts w:ascii="Times New Roman" w:hAnsi="Times New Roman" w:cs="Times New Roman"/>
      <w:sz w:val="24"/>
      <w:szCs w:val="24"/>
      <w:lang w:val="en-US"/>
    </w:rPr>
  </w:style>
  <w:style w:type="paragraph" w:customStyle="1" w:styleId="DefaultText1">
    <w:name w:val="Default Text:1"/>
    <w:basedOn w:val="Normal"/>
    <w:link w:val="DefaultText1Char"/>
    <w:rsid w:val="008216FF"/>
    <w:pPr>
      <w:overflowPunct w:val="0"/>
      <w:autoSpaceDE w:val="0"/>
      <w:autoSpaceDN w:val="0"/>
      <w:adjustRightInd w:val="0"/>
      <w:jc w:val="left"/>
      <w:textAlignment w:val="baseline"/>
    </w:pPr>
    <w:rPr>
      <w:rFonts w:eastAsia="Times New Roman"/>
      <w:sz w:val="24"/>
      <w:szCs w:val="20"/>
      <w:lang w:val="en-US"/>
    </w:rPr>
  </w:style>
  <w:style w:type="character" w:customStyle="1" w:styleId="DefaultText1Char">
    <w:name w:val="Default Text:1 Char"/>
    <w:basedOn w:val="DefaultParagraphFont"/>
    <w:link w:val="DefaultText1"/>
    <w:rsid w:val="008216FF"/>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08098B"/>
    <w:pPr>
      <w:spacing w:after="120"/>
    </w:pPr>
  </w:style>
  <w:style w:type="character" w:customStyle="1" w:styleId="BodyTextChar">
    <w:name w:val="Body Text Char"/>
    <w:basedOn w:val="DefaultParagraphFont"/>
    <w:link w:val="BodyText"/>
    <w:uiPriority w:val="99"/>
    <w:semiHidden/>
    <w:rsid w:val="0008098B"/>
    <w:rPr>
      <w:rFonts w:ascii="Times New Roman" w:hAnsi="Times New Roman"/>
      <w:sz w:val="22"/>
      <w:szCs w:val="22"/>
      <w:lang w:eastAsia="en-US"/>
    </w:rPr>
  </w:style>
  <w:style w:type="paragraph" w:styleId="BodyTextIndent">
    <w:name w:val="Body Text Indent"/>
    <w:basedOn w:val="Normal"/>
    <w:link w:val="BodyTextIndentChar"/>
    <w:rsid w:val="0008098B"/>
    <w:pPr>
      <w:spacing w:after="120"/>
      <w:ind w:left="283"/>
    </w:pPr>
  </w:style>
  <w:style w:type="character" w:customStyle="1" w:styleId="BodyTextIndentChar">
    <w:name w:val="Body Text Indent Char"/>
    <w:basedOn w:val="DefaultParagraphFont"/>
    <w:link w:val="BodyTextIndent"/>
    <w:rsid w:val="0008098B"/>
    <w:rPr>
      <w:rFonts w:ascii="Times New Roman" w:hAnsi="Times New Roman"/>
      <w:sz w:val="22"/>
      <w:szCs w:val="22"/>
      <w:lang w:eastAsia="en-US"/>
    </w:rPr>
  </w:style>
  <w:style w:type="paragraph" w:styleId="FootnoteText">
    <w:name w:val="footnote text"/>
    <w:basedOn w:val="Normal"/>
    <w:link w:val="FootnoteTextChar"/>
    <w:semiHidden/>
    <w:rsid w:val="0011170D"/>
    <w:pPr>
      <w:jc w:val="left"/>
    </w:pPr>
    <w:rPr>
      <w:rFonts w:eastAsia="Times New Roman"/>
      <w:sz w:val="20"/>
      <w:szCs w:val="20"/>
      <w:lang w:eastAsia="ro-RO"/>
    </w:rPr>
  </w:style>
  <w:style w:type="character" w:customStyle="1" w:styleId="FootnoteTextChar">
    <w:name w:val="Footnote Text Char"/>
    <w:basedOn w:val="DefaultParagraphFont"/>
    <w:link w:val="FootnoteText"/>
    <w:semiHidden/>
    <w:rsid w:val="0011170D"/>
    <w:rPr>
      <w:rFonts w:ascii="Times New Roman" w:eastAsia="Times New Roman" w:hAnsi="Times New Roman"/>
    </w:rPr>
  </w:style>
  <w:style w:type="character" w:styleId="FootnoteReference">
    <w:name w:val="footnote reference"/>
    <w:semiHidden/>
    <w:rsid w:val="0011170D"/>
    <w:rPr>
      <w:vertAlign w:val="superscript"/>
    </w:rPr>
  </w:style>
  <w:style w:type="character" w:customStyle="1" w:styleId="Heading2Char">
    <w:name w:val="Heading 2 Char"/>
    <w:basedOn w:val="DefaultParagraphFont"/>
    <w:link w:val="Heading2"/>
    <w:rsid w:val="002E4257"/>
    <w:rPr>
      <w:rFonts w:ascii="Cambria" w:eastAsia="Times New Roman" w:hAnsi="Cambria"/>
      <w:b/>
      <w:bCs/>
      <w:i/>
      <w:iCs/>
      <w:sz w:val="28"/>
      <w:szCs w:val="28"/>
    </w:rPr>
  </w:style>
  <w:style w:type="character" w:customStyle="1" w:styleId="Heading1Char">
    <w:name w:val="Heading 1 Char"/>
    <w:basedOn w:val="DefaultParagraphFont"/>
    <w:link w:val="Heading1"/>
    <w:rsid w:val="00D115C7"/>
    <w:rPr>
      <w:rFonts w:ascii="Arial" w:eastAsia="Times New Roman" w:hAnsi="Arial" w:cs="Arial"/>
      <w:b/>
      <w:bCs/>
      <w:kern w:val="32"/>
      <w:sz w:val="32"/>
      <w:szCs w:val="32"/>
    </w:rPr>
  </w:style>
  <w:style w:type="paragraph" w:styleId="ListParagraph">
    <w:name w:val="List Paragraph"/>
    <w:aliases w:val="body 2,List Paragraph1,Citation List,본문(내용),List Paragraph (numbered (a))"/>
    <w:basedOn w:val="Normal"/>
    <w:link w:val="ListParagraphChar"/>
    <w:uiPriority w:val="34"/>
    <w:qFormat/>
    <w:rsid w:val="002205A4"/>
    <w:pPr>
      <w:spacing w:after="200" w:line="276" w:lineRule="auto"/>
      <w:ind w:left="720"/>
      <w:contextualSpacing/>
      <w:jc w:val="left"/>
    </w:pPr>
    <w:rPr>
      <w:rFonts w:ascii="Calibri" w:hAnsi="Calibri"/>
    </w:rPr>
  </w:style>
  <w:style w:type="character" w:customStyle="1" w:styleId="ListParagraphChar">
    <w:name w:val="List Paragraph Char"/>
    <w:aliases w:val="body 2 Char,List Paragraph1 Char,Citation List Char,본문(내용) Char,List Paragraph (numbered (a)) Char"/>
    <w:link w:val="ListParagraph"/>
    <w:uiPriority w:val="34"/>
    <w:locked/>
    <w:rsid w:val="002205A4"/>
    <w:rPr>
      <w:sz w:val="22"/>
      <w:szCs w:val="22"/>
      <w:lang w:eastAsia="en-US"/>
    </w:rPr>
  </w:style>
  <w:style w:type="paragraph" w:styleId="BalloonText">
    <w:name w:val="Balloon Text"/>
    <w:basedOn w:val="Normal"/>
    <w:link w:val="BalloonTextChar"/>
    <w:uiPriority w:val="99"/>
    <w:semiHidden/>
    <w:unhideWhenUsed/>
    <w:rsid w:val="0069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3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ED5C2-F15D-4EC8-BF59-2CC3CD0A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constantin.costel</dc:creator>
  <cp:keywords/>
  <dc:description/>
  <cp:lastModifiedBy>crisan.alexandru</cp:lastModifiedBy>
  <cp:revision>13</cp:revision>
  <cp:lastPrinted>2021-11-03T06:42:00Z</cp:lastPrinted>
  <dcterms:created xsi:type="dcterms:W3CDTF">2021-11-02T09:34:00Z</dcterms:created>
  <dcterms:modified xsi:type="dcterms:W3CDTF">2022-03-31T07:00:00Z</dcterms:modified>
</cp:coreProperties>
</file>